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4E8E3" w14:textId="746743DC" w:rsidR="00226D47" w:rsidRDefault="00226D47" w:rsidP="006A4A2C">
      <w:pPr>
        <w:pStyle w:val="Heading1"/>
        <w:sectPr w:rsidR="00226D47" w:rsidSect="00226D47">
          <w:headerReference w:type="even" r:id="rId8"/>
          <w:headerReference w:type="default" r:id="rId9"/>
          <w:headerReference w:type="first" r:id="rId10"/>
          <w:type w:val="continuous"/>
          <w:pgSz w:w="16838" w:h="11906" w:orient="landscape"/>
          <w:pgMar w:top="1134" w:right="1134" w:bottom="1134" w:left="1134" w:header="708" w:footer="567" w:gutter="0"/>
          <w:cols w:space="708"/>
          <w:docGrid w:linePitch="360"/>
        </w:sectPr>
      </w:pPr>
      <w:r>
        <w:t>Sampling and monitoring (for bioaeroso</w:t>
      </w:r>
      <w:r w:rsidR="006820CA">
        <w:t>l</w:t>
      </w:r>
      <w:r w:rsidR="0022315C">
        <w:t>s</w:t>
      </w:r>
      <w:r w:rsidR="00915F2D">
        <w:rPr>
          <w:noProof/>
        </w:rPr>
        <w:drawing>
          <wp:anchor distT="0" distB="0" distL="114300" distR="114300" simplePos="0" relativeHeight="251661312" behindDoc="1" locked="1" layoutInCell="1" allowOverlap="1" wp14:anchorId="01D2125F" wp14:editId="153905FC">
            <wp:simplePos x="0" y="0"/>
            <wp:positionH relativeFrom="margin">
              <wp:posOffset>6448425</wp:posOffset>
            </wp:positionH>
            <wp:positionV relativeFrom="page">
              <wp:posOffset>205105</wp:posOffset>
            </wp:positionV>
            <wp:extent cx="6658610" cy="847725"/>
            <wp:effectExtent l="0" t="0" r="8890" b="0"/>
            <wp:wrapNone/>
            <wp:docPr id="641579272" name="Picture 641579272" descr="E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ESA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861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B60">
        <w:t>)</w:t>
      </w:r>
    </w:p>
    <w:p w14:paraId="268BDF91" w14:textId="0E411217" w:rsidR="00F52B60" w:rsidRDefault="00F52B60" w:rsidP="00226D47">
      <w:pPr>
        <w:pStyle w:val="Heading2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52B60">
        <w:rPr>
          <w:rFonts w:asciiTheme="minorHAnsi" w:hAnsiTheme="minorHAnsi" w:cstheme="minorHAnsi"/>
          <w:b w:val="0"/>
          <w:bCs/>
          <w:sz w:val="22"/>
          <w:szCs w:val="22"/>
        </w:rPr>
        <w:t xml:space="preserve">ESA supports WISH (Waste Industry Safety and Health) guidance on </w:t>
      </w:r>
      <w:hyperlink r:id="rId12" w:history="1">
        <w:r w:rsidRPr="00F52B60">
          <w:rPr>
            <w:rStyle w:val="Hyperlink"/>
            <w:rFonts w:asciiTheme="minorHAnsi" w:hAnsiTheme="minorHAnsi" w:cstheme="minorHAnsi"/>
            <w:b w:val="0"/>
            <w:bCs/>
            <w:sz w:val="22"/>
            <w:szCs w:val="22"/>
          </w:rPr>
          <w:t>bioaerosols in waste and recycling</w:t>
        </w:r>
      </w:hyperlink>
      <w:r w:rsidRPr="00F52B60">
        <w:rPr>
          <w:rFonts w:asciiTheme="minorHAnsi" w:hAnsiTheme="minorHAnsi" w:cstheme="minorHAnsi"/>
          <w:b w:val="0"/>
          <w:bCs/>
          <w:sz w:val="22"/>
          <w:szCs w:val="22"/>
        </w:rPr>
        <w:t xml:space="preserve"> which sets out relevant assessment and control measures and includes exposure guidelines to assist operators in the risk assessment process. ESA has produced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this resource on sampling and monitoring for bioaerosols </w:t>
      </w:r>
      <w:r w:rsidRPr="00F52B60">
        <w:rPr>
          <w:rFonts w:asciiTheme="minorHAnsi" w:hAnsiTheme="minorHAnsi" w:cstheme="minorHAnsi"/>
          <w:b w:val="0"/>
          <w:bCs/>
          <w:sz w:val="22"/>
          <w:szCs w:val="22"/>
        </w:rPr>
        <w:t xml:space="preserve">as part of a suite of additional ESA bioaerosols resources to complement the WISH guidance: </w:t>
      </w:r>
    </w:p>
    <w:p w14:paraId="79AF1998" w14:textId="46D9A496" w:rsidR="00226D47" w:rsidRPr="00F52B60" w:rsidRDefault="00226D47" w:rsidP="00226D47">
      <w:pPr>
        <w:pStyle w:val="Heading2"/>
        <w:rPr>
          <w:rFonts w:asciiTheme="minorHAnsi" w:hAnsiTheme="minorHAnsi" w:cstheme="minorHAnsi"/>
          <w:b w:val="0"/>
          <w:bCs/>
          <w:sz w:val="22"/>
          <w:szCs w:val="22"/>
        </w:rPr>
      </w:pPr>
      <w:r>
        <w:t>Developing a sampling and monitoring plan for your site</w:t>
      </w:r>
    </w:p>
    <w:p w14:paraId="0A6F9746" w14:textId="79C0CD77" w:rsidR="00226D47" w:rsidRPr="007B2A91" w:rsidRDefault="00226D47" w:rsidP="00226D47">
      <w:pPr>
        <w:rPr>
          <w:szCs w:val="24"/>
        </w:rPr>
      </w:pPr>
      <w:r w:rsidRPr="007B2A91">
        <w:rPr>
          <w:szCs w:val="24"/>
        </w:rPr>
        <w:t>To develop a suitable sampling and monitoring plan for your site, you need to understand your task activities and where the risks are. Things to consider when developing a plan include:</w:t>
      </w:r>
    </w:p>
    <w:p w14:paraId="754924EE" w14:textId="0B72F841" w:rsidR="00226D47" w:rsidRPr="007B2A91" w:rsidRDefault="00226D47" w:rsidP="00226D47">
      <w:pPr>
        <w:pStyle w:val="Numbering"/>
        <w:numPr>
          <w:ilvl w:val="0"/>
          <w:numId w:val="6"/>
        </w:numPr>
        <w:ind w:left="397" w:hanging="397"/>
        <w:rPr>
          <w:sz w:val="22"/>
        </w:rPr>
      </w:pPr>
      <w:r w:rsidRPr="007B2A91">
        <w:rPr>
          <w:sz w:val="22"/>
        </w:rPr>
        <w:t>Frequency of monitoring</w:t>
      </w:r>
    </w:p>
    <w:p w14:paraId="168744F2" w14:textId="6327D102" w:rsidR="00226D47" w:rsidRPr="007B2A91" w:rsidRDefault="00226D47" w:rsidP="00226D47">
      <w:pPr>
        <w:pStyle w:val="ListParagraph"/>
        <w:rPr>
          <w:sz w:val="22"/>
        </w:rPr>
      </w:pPr>
      <w:r w:rsidRPr="007B2A91">
        <w:rPr>
          <w:sz w:val="22"/>
        </w:rPr>
        <w:t>Bioaerosol levels are influenced by so many factors such as waste composition, environmental conditions (weather, location), site layout etc. A one-off or ‘baseline’ assessment is unlikely to give you a representative assessment of actual exposure levels</w:t>
      </w:r>
      <w:r w:rsidR="007368B2" w:rsidRPr="007B2A91">
        <w:rPr>
          <w:sz w:val="22"/>
        </w:rPr>
        <w:t xml:space="preserve"> so multiple measurements may be required</w:t>
      </w:r>
      <w:r w:rsidR="003635B5" w:rsidRPr="007B2A91">
        <w:rPr>
          <w:sz w:val="22"/>
        </w:rPr>
        <w:t>.</w:t>
      </w:r>
    </w:p>
    <w:p w14:paraId="5E6CC65D" w14:textId="7D588A3F" w:rsidR="00226D47" w:rsidRPr="007B2A91" w:rsidRDefault="00226D47" w:rsidP="00226D47">
      <w:pPr>
        <w:pStyle w:val="ListParagraph"/>
        <w:rPr>
          <w:sz w:val="22"/>
        </w:rPr>
      </w:pPr>
      <w:r w:rsidRPr="007B2A91">
        <w:rPr>
          <w:sz w:val="22"/>
        </w:rPr>
        <w:t>At least 2 samples in different seasons are recommended to give sufficient information on which to understand the risks.</w:t>
      </w:r>
    </w:p>
    <w:p w14:paraId="54AA8019" w14:textId="0A6277D8" w:rsidR="00226D47" w:rsidRPr="007B2A91" w:rsidRDefault="00226D47" w:rsidP="00226D47">
      <w:pPr>
        <w:pStyle w:val="ListParagraph"/>
        <w:rPr>
          <w:sz w:val="22"/>
        </w:rPr>
      </w:pPr>
      <w:r w:rsidRPr="007B2A91">
        <w:rPr>
          <w:sz w:val="22"/>
        </w:rPr>
        <w:t xml:space="preserve">For </w:t>
      </w:r>
      <w:r w:rsidR="00040EB5" w:rsidRPr="007B2A91">
        <w:rPr>
          <w:sz w:val="22"/>
        </w:rPr>
        <w:t>high-risk</w:t>
      </w:r>
      <w:r w:rsidRPr="007B2A91">
        <w:rPr>
          <w:sz w:val="22"/>
        </w:rPr>
        <w:t xml:space="preserve"> activities, or where exposure is varied, it is recommended that monitoring is repeated every 14 months.</w:t>
      </w:r>
    </w:p>
    <w:p w14:paraId="16C7E5BB" w14:textId="2761F22B" w:rsidR="00226D47" w:rsidRPr="007B2A91" w:rsidRDefault="00226D47" w:rsidP="00226D47">
      <w:pPr>
        <w:pStyle w:val="Numbering"/>
        <w:numPr>
          <w:ilvl w:val="0"/>
          <w:numId w:val="6"/>
        </w:numPr>
        <w:ind w:left="397" w:hanging="397"/>
        <w:rPr>
          <w:sz w:val="22"/>
        </w:rPr>
      </w:pPr>
      <w:r w:rsidRPr="007B2A91">
        <w:rPr>
          <w:sz w:val="22"/>
        </w:rPr>
        <w:t>What to look for</w:t>
      </w:r>
    </w:p>
    <w:p w14:paraId="3A17B0E7" w14:textId="18052453" w:rsidR="00226D47" w:rsidRPr="007B2A91" w:rsidRDefault="00226D47" w:rsidP="00226D47">
      <w:pPr>
        <w:pStyle w:val="ListParagraph"/>
        <w:rPr>
          <w:sz w:val="22"/>
        </w:rPr>
      </w:pPr>
      <w:r w:rsidRPr="007B2A91">
        <w:rPr>
          <w:sz w:val="22"/>
        </w:rPr>
        <w:t>It is important to ensure all organisms that may cause adverse health effects are considered, so a sampling method that considers dusts as well as viable and non-viable species is preferred.</w:t>
      </w:r>
    </w:p>
    <w:p w14:paraId="39EA7073" w14:textId="579606A8" w:rsidR="00226D47" w:rsidRPr="007B2A91" w:rsidRDefault="00226D47" w:rsidP="00226D47">
      <w:pPr>
        <w:pStyle w:val="ListParagraph"/>
        <w:rPr>
          <w:sz w:val="22"/>
        </w:rPr>
      </w:pPr>
      <w:r w:rsidRPr="007B2A91">
        <w:rPr>
          <w:sz w:val="22"/>
        </w:rPr>
        <w:t>The key viable organisms associated with waste treatment operations</w:t>
      </w:r>
      <w:r w:rsidR="00CC029C" w:rsidRPr="007B2A91">
        <w:rPr>
          <w:sz w:val="22"/>
        </w:rPr>
        <w:t xml:space="preserve"> </w:t>
      </w:r>
      <w:r w:rsidR="0052452A">
        <w:rPr>
          <w:sz w:val="22"/>
        </w:rPr>
        <w:t xml:space="preserve">for consideration </w:t>
      </w:r>
      <w:r w:rsidR="00CC029C" w:rsidRPr="007B2A91">
        <w:rPr>
          <w:sz w:val="22"/>
        </w:rPr>
        <w:t xml:space="preserve">in addition to those in the </w:t>
      </w:r>
      <w:r w:rsidR="00443510">
        <w:rPr>
          <w:sz w:val="22"/>
        </w:rPr>
        <w:t xml:space="preserve">appendix 2 of </w:t>
      </w:r>
      <w:hyperlink r:id="rId13" w:history="1">
        <w:r w:rsidR="0052452A" w:rsidRPr="0052452A">
          <w:rPr>
            <w:rStyle w:val="Hyperlink"/>
            <w:sz w:val="22"/>
          </w:rPr>
          <w:t>WISH INFO23</w:t>
        </w:r>
      </w:hyperlink>
      <w:r w:rsidR="0052452A">
        <w:rPr>
          <w:sz w:val="22"/>
        </w:rPr>
        <w:t xml:space="preserve"> </w:t>
      </w:r>
      <w:r w:rsidR="00024236" w:rsidRPr="007B2A91">
        <w:rPr>
          <w:sz w:val="22"/>
        </w:rPr>
        <w:t xml:space="preserve">are </w:t>
      </w:r>
      <w:r w:rsidR="00CC029C" w:rsidRPr="007B2A91">
        <w:rPr>
          <w:sz w:val="22"/>
        </w:rPr>
        <w:t>gram negative</w:t>
      </w:r>
      <w:r w:rsidR="00024236" w:rsidRPr="007B2A91">
        <w:rPr>
          <w:sz w:val="22"/>
        </w:rPr>
        <w:t xml:space="preserve"> bacteria</w:t>
      </w:r>
      <w:r w:rsidR="00CC029C" w:rsidRPr="007B2A91">
        <w:rPr>
          <w:sz w:val="22"/>
        </w:rPr>
        <w:t xml:space="preserve"> and thermophilic actinomycetes due to their specific relevance to potential health effects</w:t>
      </w:r>
      <w:r w:rsidRPr="007B2A91">
        <w:rPr>
          <w:sz w:val="22"/>
        </w:rPr>
        <w:t>.</w:t>
      </w:r>
    </w:p>
    <w:p w14:paraId="1B043D51" w14:textId="47A751EA" w:rsidR="00226D47" w:rsidRPr="007B2A91" w:rsidRDefault="00226D47" w:rsidP="00226D47">
      <w:pPr>
        <w:pStyle w:val="ListParagraph"/>
        <w:rPr>
          <w:sz w:val="22"/>
        </w:rPr>
      </w:pPr>
      <w:r w:rsidRPr="007B2A91">
        <w:rPr>
          <w:sz w:val="22"/>
        </w:rPr>
        <w:t>To enable a more thorough health-based assessment of exposure, it is also recommended that sampling considers endotoxin as a non-viable species as this is a known respiratory inflammatory agent.</w:t>
      </w:r>
      <w:r w:rsidR="00915F2D" w:rsidRPr="00915F2D">
        <w:rPr>
          <w:noProof/>
        </w:rPr>
        <w:t xml:space="preserve"> </w:t>
      </w:r>
    </w:p>
    <w:p w14:paraId="58DAB657" w14:textId="52983CF8" w:rsidR="00226D47" w:rsidRPr="007B2A91" w:rsidRDefault="00226D47" w:rsidP="00226D47">
      <w:pPr>
        <w:pStyle w:val="Numbering"/>
        <w:numPr>
          <w:ilvl w:val="0"/>
          <w:numId w:val="6"/>
        </w:numPr>
        <w:ind w:left="397" w:hanging="397"/>
        <w:rPr>
          <w:sz w:val="22"/>
        </w:rPr>
      </w:pPr>
      <w:r w:rsidRPr="007B2A91">
        <w:rPr>
          <w:sz w:val="22"/>
        </w:rPr>
        <w:t>Where to measure</w:t>
      </w:r>
    </w:p>
    <w:p w14:paraId="21A76B62" w14:textId="2096641B" w:rsidR="00226D47" w:rsidRPr="007B2A91" w:rsidRDefault="00226D47" w:rsidP="00226D47">
      <w:pPr>
        <w:pStyle w:val="ListParagraph"/>
        <w:rPr>
          <w:sz w:val="22"/>
        </w:rPr>
      </w:pPr>
      <w:r w:rsidRPr="007B2A91">
        <w:rPr>
          <w:sz w:val="22"/>
        </w:rPr>
        <w:t>Static or area samples provide a useful indication of potential high and low exposure zones. Consider static sampling at points where the waste may be agitated</w:t>
      </w:r>
      <w:r w:rsidR="0052452A">
        <w:rPr>
          <w:sz w:val="22"/>
        </w:rPr>
        <w:t>:</w:t>
      </w:r>
      <w:r w:rsidRPr="007B2A91">
        <w:rPr>
          <w:sz w:val="22"/>
        </w:rPr>
        <w:t xml:space="preserve"> belts </w:t>
      </w:r>
      <w:proofErr w:type="gramStart"/>
      <w:r w:rsidRPr="007B2A91">
        <w:rPr>
          <w:sz w:val="22"/>
        </w:rPr>
        <w:t>drops</w:t>
      </w:r>
      <w:proofErr w:type="gramEnd"/>
      <w:r w:rsidRPr="007B2A91">
        <w:rPr>
          <w:sz w:val="22"/>
        </w:rPr>
        <w:t>, screeners, shredders, or where the waste may be turned using mobile plant.</w:t>
      </w:r>
    </w:p>
    <w:p w14:paraId="2D6817B0" w14:textId="59A91E4E" w:rsidR="002773F0" w:rsidRPr="007B2A91" w:rsidRDefault="002773F0" w:rsidP="00226D47">
      <w:pPr>
        <w:pStyle w:val="ListParagraph"/>
        <w:rPr>
          <w:sz w:val="22"/>
        </w:rPr>
      </w:pPr>
      <w:r w:rsidRPr="007B2A91">
        <w:rPr>
          <w:sz w:val="22"/>
        </w:rPr>
        <w:t>Consider workers engaged in non-related activities but which need access through a zone</w:t>
      </w:r>
      <w:r w:rsidR="0052452A">
        <w:rPr>
          <w:sz w:val="22"/>
        </w:rPr>
        <w:t xml:space="preserve"> </w:t>
      </w:r>
      <w:r w:rsidRPr="007B2A91">
        <w:rPr>
          <w:sz w:val="22"/>
        </w:rPr>
        <w:t>(</w:t>
      </w:r>
      <w:proofErr w:type="spellStart"/>
      <w:r w:rsidRPr="007B2A91">
        <w:rPr>
          <w:sz w:val="22"/>
        </w:rPr>
        <w:t>eg</w:t>
      </w:r>
      <w:proofErr w:type="spellEnd"/>
      <w:r w:rsidRPr="007B2A91">
        <w:rPr>
          <w:sz w:val="22"/>
        </w:rPr>
        <w:t xml:space="preserve"> litter pickers)</w:t>
      </w:r>
      <w:r w:rsidR="0052452A">
        <w:rPr>
          <w:sz w:val="22"/>
        </w:rPr>
        <w:t>.</w:t>
      </w:r>
    </w:p>
    <w:p w14:paraId="2ECF4261" w14:textId="2143772F" w:rsidR="00226D47" w:rsidRPr="007B2A91" w:rsidRDefault="00226D47" w:rsidP="00226D47">
      <w:pPr>
        <w:pStyle w:val="ListParagraph"/>
        <w:rPr>
          <w:sz w:val="22"/>
        </w:rPr>
      </w:pPr>
      <w:r w:rsidRPr="007B2A91">
        <w:rPr>
          <w:sz w:val="22"/>
        </w:rPr>
        <w:t xml:space="preserve">Personal monitoring is recommended to get an accurate understanding of </w:t>
      </w:r>
      <w:proofErr w:type="gramStart"/>
      <w:r w:rsidRPr="007B2A91">
        <w:rPr>
          <w:sz w:val="22"/>
        </w:rPr>
        <w:t>task based</w:t>
      </w:r>
      <w:proofErr w:type="gramEnd"/>
      <w:r w:rsidRPr="007B2A91">
        <w:rPr>
          <w:sz w:val="22"/>
        </w:rPr>
        <w:t xml:space="preserve"> exposure and this should be considered for tasks such as maintenance and cleaning of equipment as the disturbance of settled biological material could affect the breathing zone of the operatives.</w:t>
      </w:r>
    </w:p>
    <w:p w14:paraId="275C4EFA" w14:textId="54E03582" w:rsidR="00226D47" w:rsidRPr="007B2A91" w:rsidRDefault="00226D47" w:rsidP="00226D47">
      <w:pPr>
        <w:pStyle w:val="ListParagraph"/>
        <w:rPr>
          <w:sz w:val="22"/>
        </w:rPr>
      </w:pPr>
      <w:r w:rsidRPr="007B2A91">
        <w:rPr>
          <w:sz w:val="22"/>
        </w:rPr>
        <w:t>Both methods should be considered jointly to provide a holistic view of the exposure at the site.</w:t>
      </w:r>
    </w:p>
    <w:p w14:paraId="0FBC6530" w14:textId="0335E0F9" w:rsidR="00226D47" w:rsidRPr="007B2A91" w:rsidRDefault="00226D47" w:rsidP="00226D47">
      <w:pPr>
        <w:pStyle w:val="Numbering"/>
        <w:numPr>
          <w:ilvl w:val="0"/>
          <w:numId w:val="6"/>
        </w:numPr>
        <w:ind w:left="397" w:hanging="397"/>
        <w:rPr>
          <w:sz w:val="22"/>
        </w:rPr>
      </w:pPr>
      <w:r w:rsidRPr="007B2A91">
        <w:rPr>
          <w:sz w:val="22"/>
        </w:rPr>
        <w:t>Sampling duration</w:t>
      </w:r>
    </w:p>
    <w:p w14:paraId="4CA5E009" w14:textId="77777777" w:rsidR="00FE5748" w:rsidRPr="007B2A91" w:rsidRDefault="00226D47" w:rsidP="00FE5748">
      <w:pPr>
        <w:pStyle w:val="ListParagraph"/>
        <w:rPr>
          <w:sz w:val="22"/>
        </w:rPr>
      </w:pPr>
      <w:r w:rsidRPr="007B2A91">
        <w:rPr>
          <w:sz w:val="22"/>
        </w:rPr>
        <w:t>For static sampling, this should be monitored for a minimum of 4 hours</w:t>
      </w:r>
      <w:r w:rsidR="005557B8" w:rsidRPr="007B2A91">
        <w:rPr>
          <w:sz w:val="22"/>
        </w:rPr>
        <w:t xml:space="preserve">, </w:t>
      </w:r>
      <w:r w:rsidRPr="007B2A91">
        <w:rPr>
          <w:sz w:val="22"/>
        </w:rPr>
        <w:t xml:space="preserve">this can be split </w:t>
      </w:r>
      <w:r w:rsidR="00446D48" w:rsidRPr="007B2A91">
        <w:rPr>
          <w:sz w:val="22"/>
        </w:rPr>
        <w:t>to</w:t>
      </w:r>
      <w:r w:rsidRPr="007B2A91">
        <w:rPr>
          <w:sz w:val="22"/>
        </w:rPr>
        <w:t xml:space="preserve"> get a good representation of the typical activities being carried out - there may also be some monitoring time limitations depending on the sampling methodology</w:t>
      </w:r>
      <w:r w:rsidR="00446D48" w:rsidRPr="007B2A91">
        <w:rPr>
          <w:sz w:val="22"/>
        </w:rPr>
        <w:t xml:space="preserve"> e.g. you can only sample for up to one hour for viable organisms or they just dry out on the filter paper. </w:t>
      </w:r>
      <w:r w:rsidRPr="007B2A91">
        <w:rPr>
          <w:sz w:val="22"/>
        </w:rPr>
        <w:t>This should be advised by the competent contractor.</w:t>
      </w:r>
    </w:p>
    <w:p w14:paraId="4188F908" w14:textId="3DA532CF" w:rsidR="00162787" w:rsidRPr="0025719C" w:rsidRDefault="00226D47" w:rsidP="009052F1">
      <w:pPr>
        <w:pStyle w:val="ListParagraph"/>
      </w:pPr>
      <w:r w:rsidRPr="007B2A91">
        <w:rPr>
          <w:szCs w:val="24"/>
        </w:rPr>
        <w:lastRenderedPageBreak/>
        <w:t>For personal monitoring for specific activities, the monitoring should continue for the task.</w:t>
      </w:r>
    </w:p>
    <w:sectPr w:rsidR="00162787" w:rsidRPr="0025719C" w:rsidSect="003E771A">
      <w:type w:val="continuous"/>
      <w:pgSz w:w="16838" w:h="11906" w:orient="landscape"/>
      <w:pgMar w:top="851" w:right="962" w:bottom="709" w:left="1134" w:header="708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25A8E" w14:textId="77777777" w:rsidR="005E298C" w:rsidRDefault="005E298C" w:rsidP="00D26A17">
      <w:pPr>
        <w:spacing w:after="0" w:line="240" w:lineRule="auto"/>
      </w:pPr>
      <w:r>
        <w:separator/>
      </w:r>
    </w:p>
  </w:endnote>
  <w:endnote w:type="continuationSeparator" w:id="0">
    <w:p w14:paraId="047F2CA6" w14:textId="77777777" w:rsidR="005E298C" w:rsidRDefault="005E298C" w:rsidP="00D2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1EEAB" w14:textId="77777777" w:rsidR="005E298C" w:rsidRDefault="005E298C" w:rsidP="00D26A17">
      <w:pPr>
        <w:spacing w:after="0" w:line="240" w:lineRule="auto"/>
      </w:pPr>
      <w:r>
        <w:separator/>
      </w:r>
    </w:p>
  </w:footnote>
  <w:footnote w:type="continuationSeparator" w:id="0">
    <w:p w14:paraId="3769D6FE" w14:textId="77777777" w:rsidR="005E298C" w:rsidRDefault="005E298C" w:rsidP="00D2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67929" w14:textId="724C1DE7" w:rsidR="0074165A" w:rsidRDefault="007416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BFB73" w14:textId="6D241EA7" w:rsidR="00162787" w:rsidRDefault="001627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1DF16" w14:textId="66980D89" w:rsidR="00356D6B" w:rsidRDefault="00356D6B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1080D08" wp14:editId="0CE8D509">
          <wp:simplePos x="0" y="0"/>
          <wp:positionH relativeFrom="margin">
            <wp:posOffset>2416810</wp:posOffset>
          </wp:positionH>
          <wp:positionV relativeFrom="paragraph">
            <wp:posOffset>-452120</wp:posOffset>
          </wp:positionV>
          <wp:extent cx="7560000" cy="7560000"/>
          <wp:effectExtent l="0" t="0" r="3175" b="3175"/>
          <wp:wrapNone/>
          <wp:docPr id="48" name="Picture 48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366A1"/>
    <w:multiLevelType w:val="hybridMultilevel"/>
    <w:tmpl w:val="CE1ED1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E1CAD"/>
    <w:multiLevelType w:val="hybridMultilevel"/>
    <w:tmpl w:val="A1C8F6C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73825"/>
    <w:multiLevelType w:val="hybridMultilevel"/>
    <w:tmpl w:val="6332FA2C"/>
    <w:lvl w:ilvl="0" w:tplc="FFFFFFFF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color w:val="008000" w:themeColor="accent2"/>
      </w:rPr>
    </w:lvl>
    <w:lvl w:ilvl="1" w:tplc="1E18F6AE">
      <w:start w:val="1"/>
      <w:numFmt w:val="bullet"/>
      <w:lvlText w:val="▬"/>
      <w:lvlJc w:val="left"/>
      <w:pPr>
        <w:ind w:left="2160" w:hanging="360"/>
      </w:pPr>
      <w:rPr>
        <w:rFonts w:ascii="Arial" w:hAnsi="Arial" w:hint="default"/>
        <w:color w:val="008000" w:themeColor="accent2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5D3817"/>
    <w:multiLevelType w:val="hybridMultilevel"/>
    <w:tmpl w:val="44EA3C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9A7F6B"/>
    <w:multiLevelType w:val="hybridMultilevel"/>
    <w:tmpl w:val="9D4CD6B4"/>
    <w:lvl w:ilvl="0" w:tplc="08090017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D364A"/>
    <w:multiLevelType w:val="hybridMultilevel"/>
    <w:tmpl w:val="FFB45364"/>
    <w:lvl w:ilvl="0" w:tplc="FFFFFFFF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color w:val="008000" w:themeColor="accent2"/>
      </w:rPr>
    </w:lvl>
    <w:lvl w:ilvl="1" w:tplc="1E18F6AE">
      <w:start w:val="1"/>
      <w:numFmt w:val="bullet"/>
      <w:lvlText w:val="▬"/>
      <w:lvlJc w:val="left"/>
      <w:pPr>
        <w:ind w:left="2160" w:hanging="360"/>
      </w:pPr>
      <w:rPr>
        <w:rFonts w:ascii="Arial" w:hAnsi="Arial" w:hint="default"/>
        <w:color w:val="008000" w:themeColor="accent2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BF3F3B"/>
    <w:multiLevelType w:val="hybridMultilevel"/>
    <w:tmpl w:val="758C076A"/>
    <w:lvl w:ilvl="0" w:tplc="6096F2B2">
      <w:start w:val="1"/>
      <w:numFmt w:val="bullet"/>
      <w:pStyle w:val="ListParagraph"/>
      <w:lvlText w:val="►"/>
      <w:lvlJc w:val="left"/>
      <w:pPr>
        <w:ind w:left="360" w:hanging="360"/>
      </w:pPr>
      <w:rPr>
        <w:rFonts w:ascii="Arial" w:hAnsi="Arial" w:hint="default"/>
        <w:color w:val="008000" w:themeColor="accent2"/>
      </w:rPr>
    </w:lvl>
    <w:lvl w:ilvl="1" w:tplc="1E18F6AE">
      <w:start w:val="1"/>
      <w:numFmt w:val="bullet"/>
      <w:lvlText w:val="▬"/>
      <w:lvlJc w:val="left"/>
      <w:pPr>
        <w:ind w:left="2160" w:hanging="360"/>
      </w:pPr>
      <w:rPr>
        <w:rFonts w:ascii="Arial" w:hAnsi="Arial" w:hint="default"/>
        <w:color w:val="008000" w:themeColor="accent2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D0548C"/>
    <w:multiLevelType w:val="hybridMultilevel"/>
    <w:tmpl w:val="82F20BD4"/>
    <w:lvl w:ilvl="0" w:tplc="B31A6A9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50816"/>
    <w:multiLevelType w:val="hybridMultilevel"/>
    <w:tmpl w:val="E52C44C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6496292">
    <w:abstractNumId w:val="7"/>
  </w:num>
  <w:num w:numId="2" w16cid:durableId="1353416266">
    <w:abstractNumId w:val="6"/>
  </w:num>
  <w:num w:numId="3" w16cid:durableId="1661427403">
    <w:abstractNumId w:val="1"/>
  </w:num>
  <w:num w:numId="4" w16cid:durableId="1448962785">
    <w:abstractNumId w:val="4"/>
  </w:num>
  <w:num w:numId="5" w16cid:durableId="556672535">
    <w:abstractNumId w:val="4"/>
    <w:lvlOverride w:ilvl="0">
      <w:startOverride w:val="1"/>
    </w:lvlOverride>
  </w:num>
  <w:num w:numId="6" w16cid:durableId="1902206921">
    <w:abstractNumId w:val="0"/>
  </w:num>
  <w:num w:numId="7" w16cid:durableId="1711607463">
    <w:abstractNumId w:val="5"/>
  </w:num>
  <w:num w:numId="8" w16cid:durableId="217056252">
    <w:abstractNumId w:val="2"/>
  </w:num>
  <w:num w:numId="9" w16cid:durableId="903486313">
    <w:abstractNumId w:val="8"/>
  </w:num>
  <w:num w:numId="10" w16cid:durableId="1728145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45"/>
    <w:rsid w:val="00024236"/>
    <w:rsid w:val="00040EB5"/>
    <w:rsid w:val="0005582A"/>
    <w:rsid w:val="00065DC8"/>
    <w:rsid w:val="00071E25"/>
    <w:rsid w:val="00072740"/>
    <w:rsid w:val="000B488C"/>
    <w:rsid w:val="000C63F7"/>
    <w:rsid w:val="000C641E"/>
    <w:rsid w:val="000E101B"/>
    <w:rsid w:val="000E5656"/>
    <w:rsid w:val="00112FCD"/>
    <w:rsid w:val="00115361"/>
    <w:rsid w:val="00123C0E"/>
    <w:rsid w:val="001306C4"/>
    <w:rsid w:val="00151782"/>
    <w:rsid w:val="00162787"/>
    <w:rsid w:val="001821B0"/>
    <w:rsid w:val="001956E9"/>
    <w:rsid w:val="00196DCC"/>
    <w:rsid w:val="001C3829"/>
    <w:rsid w:val="001E1646"/>
    <w:rsid w:val="00221ABA"/>
    <w:rsid w:val="0022315C"/>
    <w:rsid w:val="00226D47"/>
    <w:rsid w:val="00233DA6"/>
    <w:rsid w:val="00244C5F"/>
    <w:rsid w:val="00250280"/>
    <w:rsid w:val="0025719C"/>
    <w:rsid w:val="00262CA8"/>
    <w:rsid w:val="00276F00"/>
    <w:rsid w:val="002773F0"/>
    <w:rsid w:val="0027760D"/>
    <w:rsid w:val="00282F9D"/>
    <w:rsid w:val="002920CF"/>
    <w:rsid w:val="002A30D6"/>
    <w:rsid w:val="002A69C9"/>
    <w:rsid w:val="002B1DDC"/>
    <w:rsid w:val="002C6E68"/>
    <w:rsid w:val="002D3D6A"/>
    <w:rsid w:val="002F6398"/>
    <w:rsid w:val="003062EA"/>
    <w:rsid w:val="00306BE8"/>
    <w:rsid w:val="00310141"/>
    <w:rsid w:val="00315E4D"/>
    <w:rsid w:val="003162F3"/>
    <w:rsid w:val="00324B18"/>
    <w:rsid w:val="00324F7B"/>
    <w:rsid w:val="003252DF"/>
    <w:rsid w:val="00332F3F"/>
    <w:rsid w:val="00337A5E"/>
    <w:rsid w:val="00356D6B"/>
    <w:rsid w:val="003635B5"/>
    <w:rsid w:val="00383807"/>
    <w:rsid w:val="003871A0"/>
    <w:rsid w:val="003945DC"/>
    <w:rsid w:val="003A0BDE"/>
    <w:rsid w:val="003D673A"/>
    <w:rsid w:val="003D6A34"/>
    <w:rsid w:val="003E771A"/>
    <w:rsid w:val="003F4686"/>
    <w:rsid w:val="003F54D5"/>
    <w:rsid w:val="003F7293"/>
    <w:rsid w:val="00443510"/>
    <w:rsid w:val="00446D48"/>
    <w:rsid w:val="00450DD3"/>
    <w:rsid w:val="004612A7"/>
    <w:rsid w:val="0046607A"/>
    <w:rsid w:val="00466CFD"/>
    <w:rsid w:val="004735E6"/>
    <w:rsid w:val="00473D8C"/>
    <w:rsid w:val="00476EA3"/>
    <w:rsid w:val="004A202A"/>
    <w:rsid w:val="004B3FF1"/>
    <w:rsid w:val="004D1413"/>
    <w:rsid w:val="004D44E2"/>
    <w:rsid w:val="004F01C5"/>
    <w:rsid w:val="004F554A"/>
    <w:rsid w:val="004F7160"/>
    <w:rsid w:val="005145D7"/>
    <w:rsid w:val="0051727F"/>
    <w:rsid w:val="0052452A"/>
    <w:rsid w:val="00530A51"/>
    <w:rsid w:val="00533CC9"/>
    <w:rsid w:val="0054196C"/>
    <w:rsid w:val="005557B8"/>
    <w:rsid w:val="00556C1D"/>
    <w:rsid w:val="00571090"/>
    <w:rsid w:val="00592D2C"/>
    <w:rsid w:val="005A6AF6"/>
    <w:rsid w:val="005E298C"/>
    <w:rsid w:val="0060615C"/>
    <w:rsid w:val="00607216"/>
    <w:rsid w:val="0061743B"/>
    <w:rsid w:val="00620B50"/>
    <w:rsid w:val="00626C4E"/>
    <w:rsid w:val="00630B46"/>
    <w:rsid w:val="006313C6"/>
    <w:rsid w:val="00647A11"/>
    <w:rsid w:val="00655B99"/>
    <w:rsid w:val="006566B1"/>
    <w:rsid w:val="00657116"/>
    <w:rsid w:val="006820CA"/>
    <w:rsid w:val="00695E0A"/>
    <w:rsid w:val="006A3823"/>
    <w:rsid w:val="006A4A2C"/>
    <w:rsid w:val="006A7488"/>
    <w:rsid w:val="006C0C58"/>
    <w:rsid w:val="006C136C"/>
    <w:rsid w:val="006E7039"/>
    <w:rsid w:val="00715C42"/>
    <w:rsid w:val="00724BB7"/>
    <w:rsid w:val="007368B2"/>
    <w:rsid w:val="0074165A"/>
    <w:rsid w:val="0077626B"/>
    <w:rsid w:val="00777801"/>
    <w:rsid w:val="00777ED4"/>
    <w:rsid w:val="00786DCE"/>
    <w:rsid w:val="007B23AE"/>
    <w:rsid w:val="007B2A91"/>
    <w:rsid w:val="007C7F97"/>
    <w:rsid w:val="007F2A8A"/>
    <w:rsid w:val="007F52B3"/>
    <w:rsid w:val="00802B63"/>
    <w:rsid w:val="00805628"/>
    <w:rsid w:val="00815D4E"/>
    <w:rsid w:val="00816491"/>
    <w:rsid w:val="0083703C"/>
    <w:rsid w:val="00891F8C"/>
    <w:rsid w:val="008B31DD"/>
    <w:rsid w:val="008B7684"/>
    <w:rsid w:val="008C2D37"/>
    <w:rsid w:val="008C58E4"/>
    <w:rsid w:val="008C5BE2"/>
    <w:rsid w:val="008D0224"/>
    <w:rsid w:val="008D222B"/>
    <w:rsid w:val="008F2AEF"/>
    <w:rsid w:val="00904445"/>
    <w:rsid w:val="009052F1"/>
    <w:rsid w:val="009058AB"/>
    <w:rsid w:val="00915212"/>
    <w:rsid w:val="00915F2D"/>
    <w:rsid w:val="00941E97"/>
    <w:rsid w:val="00960829"/>
    <w:rsid w:val="00971A22"/>
    <w:rsid w:val="00975E8D"/>
    <w:rsid w:val="0098367B"/>
    <w:rsid w:val="00985BA8"/>
    <w:rsid w:val="009904FB"/>
    <w:rsid w:val="009A1286"/>
    <w:rsid w:val="009B487A"/>
    <w:rsid w:val="009C3218"/>
    <w:rsid w:val="009D5C48"/>
    <w:rsid w:val="00A109A9"/>
    <w:rsid w:val="00A26C24"/>
    <w:rsid w:val="00A5234F"/>
    <w:rsid w:val="00A53FEA"/>
    <w:rsid w:val="00A65D9B"/>
    <w:rsid w:val="00A71178"/>
    <w:rsid w:val="00A75ECC"/>
    <w:rsid w:val="00A828B8"/>
    <w:rsid w:val="00A94A96"/>
    <w:rsid w:val="00A96C52"/>
    <w:rsid w:val="00AA0333"/>
    <w:rsid w:val="00AA5553"/>
    <w:rsid w:val="00AB06F1"/>
    <w:rsid w:val="00AB21F9"/>
    <w:rsid w:val="00AD0727"/>
    <w:rsid w:val="00AF1751"/>
    <w:rsid w:val="00B0306F"/>
    <w:rsid w:val="00B32C00"/>
    <w:rsid w:val="00B701E3"/>
    <w:rsid w:val="00B72550"/>
    <w:rsid w:val="00B842C3"/>
    <w:rsid w:val="00B93C24"/>
    <w:rsid w:val="00BA57B7"/>
    <w:rsid w:val="00BB192C"/>
    <w:rsid w:val="00BB67A3"/>
    <w:rsid w:val="00BC15C1"/>
    <w:rsid w:val="00BC3C53"/>
    <w:rsid w:val="00BF3C24"/>
    <w:rsid w:val="00C03D24"/>
    <w:rsid w:val="00C13EA6"/>
    <w:rsid w:val="00C66D39"/>
    <w:rsid w:val="00C728BA"/>
    <w:rsid w:val="00C96A46"/>
    <w:rsid w:val="00C975CB"/>
    <w:rsid w:val="00CB270E"/>
    <w:rsid w:val="00CB3BB8"/>
    <w:rsid w:val="00CC029C"/>
    <w:rsid w:val="00CC620D"/>
    <w:rsid w:val="00CD3C2A"/>
    <w:rsid w:val="00CD542C"/>
    <w:rsid w:val="00CE42BC"/>
    <w:rsid w:val="00CF1AC4"/>
    <w:rsid w:val="00CF315B"/>
    <w:rsid w:val="00D15091"/>
    <w:rsid w:val="00D25AFE"/>
    <w:rsid w:val="00D26A17"/>
    <w:rsid w:val="00D33CD7"/>
    <w:rsid w:val="00D50DE1"/>
    <w:rsid w:val="00D53330"/>
    <w:rsid w:val="00D57D7B"/>
    <w:rsid w:val="00D96905"/>
    <w:rsid w:val="00DA13C0"/>
    <w:rsid w:val="00DC4BAF"/>
    <w:rsid w:val="00DD0B7E"/>
    <w:rsid w:val="00DD250E"/>
    <w:rsid w:val="00DD272B"/>
    <w:rsid w:val="00DD3486"/>
    <w:rsid w:val="00DD7334"/>
    <w:rsid w:val="00E11265"/>
    <w:rsid w:val="00E243BA"/>
    <w:rsid w:val="00E445A0"/>
    <w:rsid w:val="00E44AB7"/>
    <w:rsid w:val="00E50914"/>
    <w:rsid w:val="00E61B1B"/>
    <w:rsid w:val="00E63C54"/>
    <w:rsid w:val="00E8430E"/>
    <w:rsid w:val="00E849E0"/>
    <w:rsid w:val="00E8507E"/>
    <w:rsid w:val="00E9485A"/>
    <w:rsid w:val="00E95270"/>
    <w:rsid w:val="00EA6DE5"/>
    <w:rsid w:val="00EB5B08"/>
    <w:rsid w:val="00EB6054"/>
    <w:rsid w:val="00EC0387"/>
    <w:rsid w:val="00EE1541"/>
    <w:rsid w:val="00EE649A"/>
    <w:rsid w:val="00EE67A9"/>
    <w:rsid w:val="00EF55A9"/>
    <w:rsid w:val="00F31A10"/>
    <w:rsid w:val="00F34E58"/>
    <w:rsid w:val="00F52B60"/>
    <w:rsid w:val="00F66040"/>
    <w:rsid w:val="00F6680F"/>
    <w:rsid w:val="00F668A4"/>
    <w:rsid w:val="00F90F2E"/>
    <w:rsid w:val="00FA3C38"/>
    <w:rsid w:val="00FA6716"/>
    <w:rsid w:val="00FB339D"/>
    <w:rsid w:val="00FC4C22"/>
    <w:rsid w:val="00FC5AED"/>
    <w:rsid w:val="00FD165F"/>
    <w:rsid w:val="00FE5748"/>
    <w:rsid w:val="00FF6126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42B0C"/>
  <w15:chartTrackingRefBased/>
  <w15:docId w15:val="{B24D85DE-CA54-499F-B287-FDAAD032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A17"/>
    <w:pPr>
      <w:spacing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1F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aps/>
      <w:color w:val="008000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615C"/>
    <w:pPr>
      <w:keepNext/>
      <w:keepLines/>
      <w:spacing w:before="360" w:after="60"/>
      <w:outlineLvl w:val="1"/>
    </w:pPr>
    <w:rPr>
      <w:rFonts w:asciiTheme="majorHAnsi" w:eastAsiaTheme="majorEastAsia" w:hAnsiTheme="majorHAnsi" w:cstheme="majorBidi"/>
      <w:b/>
      <w:color w:val="004000" w:themeColor="accent2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01C5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color w:val="000000" w:themeColor="accent1" w:themeShade="7F"/>
      <w:sz w:val="26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A17"/>
  </w:style>
  <w:style w:type="paragraph" w:styleId="Footer">
    <w:name w:val="footer"/>
    <w:basedOn w:val="Normal"/>
    <w:link w:val="FooterChar"/>
    <w:uiPriority w:val="99"/>
    <w:unhideWhenUsed/>
    <w:rsid w:val="00D26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A17"/>
  </w:style>
  <w:style w:type="paragraph" w:styleId="Title">
    <w:name w:val="Title"/>
    <w:basedOn w:val="Normal"/>
    <w:next w:val="Normal"/>
    <w:link w:val="TitleChar"/>
    <w:uiPriority w:val="10"/>
    <w:qFormat/>
    <w:rsid w:val="00D26A17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8000" w:themeColor="accent2"/>
      <w:spacing w:val="-10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D26A17"/>
    <w:rPr>
      <w:rFonts w:asciiTheme="majorHAnsi" w:eastAsiaTheme="majorEastAsia" w:hAnsiTheme="majorHAnsi" w:cstheme="majorBidi"/>
      <w:b/>
      <w:color w:val="008000" w:themeColor="accent2"/>
      <w:spacing w:val="-10"/>
      <w:kern w:val="28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A17"/>
    <w:pPr>
      <w:numPr>
        <w:ilvl w:val="1"/>
      </w:numPr>
      <w:spacing w:before="480"/>
    </w:pPr>
    <w:rPr>
      <w:rFonts w:eastAsiaTheme="minorEastAsia"/>
      <w:color w:val="5A5A5A" w:themeColor="text1" w:themeTint="A5"/>
      <w:spacing w:val="15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D26A17"/>
    <w:rPr>
      <w:rFonts w:eastAsiaTheme="minorEastAsia"/>
      <w:color w:val="5A5A5A" w:themeColor="text1" w:themeTint="A5"/>
      <w:spacing w:val="15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B21F9"/>
    <w:rPr>
      <w:rFonts w:asciiTheme="majorHAnsi" w:eastAsiaTheme="majorEastAsia" w:hAnsiTheme="majorHAnsi" w:cstheme="majorBidi"/>
      <w:b/>
      <w:caps/>
      <w:color w:val="008000" w:themeColor="accent2"/>
      <w:sz w:val="32"/>
      <w:szCs w:val="32"/>
    </w:rPr>
  </w:style>
  <w:style w:type="table" w:styleId="TableGrid">
    <w:name w:val="Table Grid"/>
    <w:basedOn w:val="TableNormal"/>
    <w:uiPriority w:val="39"/>
    <w:rsid w:val="00356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33DA6"/>
    <w:pPr>
      <w:numPr>
        <w:numId w:val="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0615C"/>
    <w:rPr>
      <w:rFonts w:asciiTheme="majorHAnsi" w:eastAsiaTheme="majorEastAsia" w:hAnsiTheme="majorHAnsi" w:cstheme="majorBidi"/>
      <w:b/>
      <w:color w:val="004000" w:themeColor="accent2" w:themeShade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01C5"/>
    <w:rPr>
      <w:rFonts w:asciiTheme="majorHAnsi" w:eastAsiaTheme="majorEastAsia" w:hAnsiTheme="majorHAnsi" w:cstheme="majorBidi"/>
      <w:b/>
      <w:color w:val="000000" w:themeColor="accent1" w:themeShade="7F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8C2D37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D37"/>
    <w:rPr>
      <w:color w:val="605E5C"/>
      <w:shd w:val="clear" w:color="auto" w:fill="E1DFDD"/>
    </w:rPr>
  </w:style>
  <w:style w:type="paragraph" w:customStyle="1" w:styleId="Numbering">
    <w:name w:val="Numbering"/>
    <w:basedOn w:val="ListParagraph"/>
    <w:link w:val="NumberingChar"/>
    <w:qFormat/>
    <w:rsid w:val="00233DA6"/>
    <w:pPr>
      <w:numPr>
        <w:numId w:val="0"/>
      </w:numPr>
      <w:spacing w:before="240" w:after="0"/>
      <w:contextualSpacing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C2D37"/>
    <w:rPr>
      <w:sz w:val="24"/>
    </w:rPr>
  </w:style>
  <w:style w:type="character" w:customStyle="1" w:styleId="NumberingChar">
    <w:name w:val="Numbering Char"/>
    <w:basedOn w:val="ListParagraphChar"/>
    <w:link w:val="Numbering"/>
    <w:rsid w:val="00233DA6"/>
    <w:rPr>
      <w:b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6566B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E5656"/>
    <w:pPr>
      <w:tabs>
        <w:tab w:val="right" w:leader="dot" w:pos="14560"/>
      </w:tabs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B03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30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30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0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4A96"/>
    <w:pPr>
      <w:spacing w:after="0" w:line="240" w:lineRule="auto"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452A"/>
    <w:rPr>
      <w:color w:val="59595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wishforum.org.uk/wp-content/uploads/2023/11/INFO-23-Bioaerosols-in-waste-and-recycling-V1-Oct-202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ishforum.org.uk/wp-content/uploads/2023/11/INFO-23-Bioaerosols-in-waste-and-recycling-V1-Oct-202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WISH">
      <a:dk1>
        <a:srgbClr val="000000"/>
      </a:dk1>
      <a:lt1>
        <a:srgbClr val="FFFFFF"/>
      </a:lt1>
      <a:dk2>
        <a:srgbClr val="3F3F3F"/>
      </a:dk2>
      <a:lt2>
        <a:srgbClr val="D8D8D8"/>
      </a:lt2>
      <a:accent1>
        <a:srgbClr val="000000"/>
      </a:accent1>
      <a:accent2>
        <a:srgbClr val="008000"/>
      </a:accent2>
      <a:accent3>
        <a:srgbClr val="0086DB"/>
      </a:accent3>
      <a:accent4>
        <a:srgbClr val="59B224"/>
      </a:accent4>
      <a:accent5>
        <a:srgbClr val="ADD797"/>
      </a:accent5>
      <a:accent6>
        <a:srgbClr val="B2DAF4"/>
      </a:accent6>
      <a:hlink>
        <a:srgbClr val="000000"/>
      </a:hlink>
      <a:folHlink>
        <a:srgbClr val="595959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77D0B-8B46-421F-9CB7-84748EF5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Stokes</dc:creator>
  <cp:keywords/>
  <dc:description/>
  <cp:lastModifiedBy>Stephen Freeland</cp:lastModifiedBy>
  <cp:revision>3</cp:revision>
  <cp:lastPrinted>2023-08-31T14:24:00Z</cp:lastPrinted>
  <dcterms:created xsi:type="dcterms:W3CDTF">2024-11-07T09:52:00Z</dcterms:created>
  <dcterms:modified xsi:type="dcterms:W3CDTF">2024-11-07T09:57:00Z</dcterms:modified>
</cp:coreProperties>
</file>