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1669" w14:textId="30142E67" w:rsidR="00E03C0A" w:rsidRDefault="00203979" w:rsidP="003E6BB7">
      <w:pPr>
        <w:jc w:val="right"/>
      </w:pPr>
      <w:r>
        <w:rPr>
          <w:noProof/>
        </w:rPr>
        <w:drawing>
          <wp:inline distT="114300" distB="114300" distL="114300" distR="114300" wp14:anchorId="5E226E82" wp14:editId="05D7D942">
            <wp:extent cx="1925887" cy="625740"/>
            <wp:effectExtent l="0" t="0" r="0" b="0"/>
            <wp:docPr id="1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887" cy="62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E6B2A" w14:textId="77777777" w:rsidR="00203979" w:rsidRDefault="00203979" w:rsidP="000B7F8E">
      <w:pPr>
        <w:pStyle w:val="Heading2"/>
        <w:spacing w:before="40" w:after="0" w:line="240" w:lineRule="auto"/>
        <w:jc w:val="center"/>
        <w:rPr>
          <w:rFonts w:ascii="Calibri" w:eastAsia="Calibri" w:hAnsi="Calibri" w:cs="Calibri"/>
          <w:color w:val="2F5496"/>
        </w:rPr>
      </w:pPr>
    </w:p>
    <w:p w14:paraId="04B1AD9D" w14:textId="55297776" w:rsidR="00E03C0A" w:rsidRDefault="00123695" w:rsidP="000B7F8E">
      <w:pPr>
        <w:pStyle w:val="Heading2"/>
        <w:spacing w:before="40" w:after="0" w:line="240" w:lineRule="auto"/>
        <w:jc w:val="center"/>
        <w:rPr>
          <w:rFonts w:ascii="Calibri" w:eastAsia="Calibri" w:hAnsi="Calibri" w:cs="Calibri"/>
          <w:color w:val="2F5496"/>
        </w:rPr>
      </w:pPr>
      <w:r w:rsidRPr="000B7F8E">
        <w:rPr>
          <w:rFonts w:ascii="Calibri" w:eastAsia="Calibri" w:hAnsi="Calibri" w:cs="Calibri"/>
          <w:color w:val="2F5496"/>
        </w:rPr>
        <w:t xml:space="preserve">Guidance on the </w:t>
      </w:r>
      <w:r w:rsidR="00637B47">
        <w:rPr>
          <w:rFonts w:ascii="Calibri" w:eastAsia="Calibri" w:hAnsi="Calibri" w:cs="Calibri"/>
          <w:color w:val="2F5496"/>
        </w:rPr>
        <w:t xml:space="preserve">disposal of </w:t>
      </w:r>
      <w:r w:rsidRPr="000B7F8E">
        <w:rPr>
          <w:rFonts w:ascii="Calibri" w:eastAsia="Calibri" w:hAnsi="Calibri" w:cs="Calibri"/>
          <w:color w:val="2F5496"/>
        </w:rPr>
        <w:t xml:space="preserve">bonded asbestos (cement) </w:t>
      </w:r>
    </w:p>
    <w:p w14:paraId="2F5E0FFE" w14:textId="77777777" w:rsidR="00E03C0A" w:rsidRDefault="00E03C0A">
      <w:pPr>
        <w:spacing w:after="160" w:line="240" w:lineRule="auto"/>
        <w:rPr>
          <w:rFonts w:ascii="Calibri" w:eastAsia="Calibri" w:hAnsi="Calibri" w:cs="Calibri"/>
          <w:b/>
        </w:rPr>
      </w:pPr>
    </w:p>
    <w:p w14:paraId="46984057" w14:textId="5B9485EE" w:rsidR="00E03C0A" w:rsidRDefault="000E4540" w:rsidP="00186F9A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Introduction </w:t>
      </w:r>
      <w:r w:rsidR="00123695">
        <w:rPr>
          <w:rFonts w:ascii="Calibri" w:eastAsia="Calibri" w:hAnsi="Calibri" w:cs="Calibri"/>
          <w:b/>
        </w:rPr>
        <w:t xml:space="preserve"> </w:t>
      </w:r>
    </w:p>
    <w:p w14:paraId="43EDDB6E" w14:textId="77777777" w:rsidR="001A1ED6" w:rsidRDefault="001A1ED6" w:rsidP="001A1ED6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Asbestos fibres can cause fatal lung diseases and cancers, and must therefore be handled, transported and disposed of properly.</w:t>
      </w:r>
    </w:p>
    <w:p w14:paraId="712F04D3" w14:textId="72BC8964" w:rsidR="002A0FCC" w:rsidRDefault="00B61D42" w:rsidP="002A0FCC">
      <w:pPr>
        <w:spacing w:after="120" w:line="264" w:lineRule="auto"/>
        <w:rPr>
          <w:rFonts w:asciiTheme="majorHAnsi" w:hAnsiTheme="majorHAnsi" w:cstheme="majorHAnsi"/>
        </w:rPr>
      </w:pPr>
      <w:r w:rsidRPr="002A0FCC">
        <w:rPr>
          <w:rFonts w:asciiTheme="majorHAnsi" w:eastAsia="Calibri" w:hAnsiTheme="majorHAnsi" w:cstheme="majorHAnsi"/>
        </w:rPr>
        <w:t xml:space="preserve">This ESA guidance </w:t>
      </w:r>
      <w:r w:rsidR="000E4540">
        <w:rPr>
          <w:rFonts w:asciiTheme="majorHAnsi" w:eastAsia="Calibri" w:hAnsiTheme="majorHAnsi" w:cstheme="majorHAnsi"/>
        </w:rPr>
        <w:t xml:space="preserve">aims to </w:t>
      </w:r>
      <w:r w:rsidR="002A0FCC">
        <w:rPr>
          <w:rFonts w:asciiTheme="majorHAnsi" w:eastAsia="Calibri" w:hAnsiTheme="majorHAnsi" w:cstheme="majorHAnsi"/>
        </w:rPr>
        <w:t xml:space="preserve">raise </w:t>
      </w:r>
      <w:r w:rsidRPr="002A0FCC">
        <w:rPr>
          <w:rFonts w:asciiTheme="majorHAnsi" w:eastAsia="Calibri" w:hAnsiTheme="majorHAnsi" w:cstheme="majorHAnsi"/>
        </w:rPr>
        <w:t xml:space="preserve">industry standards </w:t>
      </w:r>
      <w:r w:rsidR="00637B47">
        <w:rPr>
          <w:rFonts w:asciiTheme="majorHAnsi" w:eastAsia="Calibri" w:hAnsiTheme="majorHAnsi" w:cstheme="majorHAnsi"/>
        </w:rPr>
        <w:t xml:space="preserve">by </w:t>
      </w:r>
      <w:r w:rsidRPr="002A0FCC">
        <w:rPr>
          <w:rFonts w:asciiTheme="majorHAnsi" w:eastAsia="Calibri" w:hAnsiTheme="majorHAnsi" w:cstheme="majorHAnsi"/>
        </w:rPr>
        <w:t>bring</w:t>
      </w:r>
      <w:r w:rsidR="00637B47">
        <w:rPr>
          <w:rFonts w:asciiTheme="majorHAnsi" w:eastAsia="Calibri" w:hAnsiTheme="majorHAnsi" w:cstheme="majorHAnsi"/>
        </w:rPr>
        <w:t>ing</w:t>
      </w:r>
      <w:r w:rsidR="002A0FCC">
        <w:rPr>
          <w:rFonts w:asciiTheme="majorHAnsi" w:eastAsia="Calibri" w:hAnsiTheme="majorHAnsi" w:cstheme="majorHAnsi"/>
        </w:rPr>
        <w:t xml:space="preserve"> about </w:t>
      </w:r>
      <w:r w:rsidRPr="002A0FCC">
        <w:rPr>
          <w:rFonts w:asciiTheme="majorHAnsi" w:eastAsia="Calibri" w:hAnsiTheme="majorHAnsi" w:cstheme="majorHAnsi"/>
        </w:rPr>
        <w:t xml:space="preserve">an end to the practice </w:t>
      </w:r>
      <w:r w:rsidR="002A0FCC">
        <w:rPr>
          <w:rFonts w:asciiTheme="majorHAnsi" w:eastAsia="Calibri" w:hAnsiTheme="majorHAnsi" w:cstheme="majorHAnsi"/>
        </w:rPr>
        <w:t xml:space="preserve">whereby </w:t>
      </w:r>
      <w:r w:rsidR="002A0FCC" w:rsidRPr="00FF68F7">
        <w:rPr>
          <w:rFonts w:asciiTheme="majorHAnsi" w:eastAsia="Calibri" w:hAnsiTheme="majorHAnsi" w:cstheme="majorHAnsi"/>
          <w:b/>
          <w:bCs/>
        </w:rPr>
        <w:t xml:space="preserve">loads of </w:t>
      </w:r>
      <w:r w:rsidR="002A0FCC" w:rsidRPr="00FF68F7">
        <w:rPr>
          <w:rFonts w:asciiTheme="majorHAnsi" w:hAnsiTheme="majorHAnsi" w:cstheme="majorHAnsi"/>
          <w:b/>
          <w:bCs/>
        </w:rPr>
        <w:t>broken bonded asbestos arrive for disposal at landfill sites unwrapped and in open containers</w:t>
      </w:r>
      <w:r w:rsidR="002A0FCC">
        <w:rPr>
          <w:rFonts w:asciiTheme="majorHAnsi" w:hAnsiTheme="majorHAnsi" w:cstheme="majorHAnsi"/>
        </w:rPr>
        <w:t xml:space="preserve">. </w:t>
      </w:r>
      <w:r w:rsidR="000E4540">
        <w:rPr>
          <w:rFonts w:asciiTheme="majorHAnsi" w:hAnsiTheme="majorHAnsi" w:cstheme="majorHAnsi"/>
        </w:rPr>
        <w:t xml:space="preserve">This is an entirely unacceptable means for the transport and disposal of asbestos waste, which places landfill staff and the wider community at risk. </w:t>
      </w:r>
    </w:p>
    <w:p w14:paraId="1B88F46E" w14:textId="06D5BC2E" w:rsidR="002A0FCC" w:rsidRDefault="001A1ED6" w:rsidP="002A0FCC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Loads presented for disposal in </w:t>
      </w:r>
      <w:r w:rsidR="00637B47">
        <w:rPr>
          <w:rFonts w:ascii="Calibri" w:eastAsia="Calibri" w:hAnsi="Calibri" w:cs="Calibri"/>
        </w:rPr>
        <w:t xml:space="preserve">such </w:t>
      </w:r>
      <w:r>
        <w:rPr>
          <w:rFonts w:ascii="Calibri" w:eastAsia="Calibri" w:hAnsi="Calibri" w:cs="Calibri"/>
        </w:rPr>
        <w:t xml:space="preserve">circumstances </w:t>
      </w:r>
      <w:r w:rsidR="00F40BB7">
        <w:rPr>
          <w:rFonts w:ascii="Calibri" w:eastAsia="Calibri" w:hAnsi="Calibri" w:cs="Calibri"/>
        </w:rPr>
        <w:t xml:space="preserve">should </w:t>
      </w:r>
      <w:r>
        <w:rPr>
          <w:rFonts w:ascii="Calibri" w:eastAsia="Calibri" w:hAnsi="Calibri" w:cs="Calibri"/>
        </w:rPr>
        <w:t xml:space="preserve">not benefit from </w:t>
      </w:r>
      <w:r w:rsidR="00637B47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C</w:t>
      </w:r>
      <w:r w:rsidR="000731E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G/ADR exemption (</w:t>
      </w:r>
      <w:r w:rsidR="00637B47">
        <w:rPr>
          <w:rFonts w:ascii="Calibri" w:eastAsia="Calibri" w:hAnsi="Calibri" w:cs="Calibri"/>
        </w:rPr>
        <w:t>by virtue of</w:t>
      </w:r>
      <w:r w:rsidR="000E454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Special Provision 168) and </w:t>
      </w:r>
      <w:r w:rsidR="00637B47">
        <w:rPr>
          <w:rFonts w:ascii="Calibri" w:eastAsia="Calibri" w:hAnsi="Calibri" w:cs="Calibri"/>
        </w:rPr>
        <w:t xml:space="preserve">instead </w:t>
      </w:r>
      <w:r w:rsidR="000E4540">
        <w:rPr>
          <w:rFonts w:ascii="Calibri" w:eastAsia="Calibri" w:hAnsi="Calibri" w:cs="Calibri"/>
        </w:rPr>
        <w:t>the full ADR rules apply to the packaging and consignment of this asbestos</w:t>
      </w:r>
      <w:r w:rsidR="00846E5D">
        <w:rPr>
          <w:rFonts w:ascii="Calibri" w:eastAsia="Calibri" w:hAnsi="Calibri" w:cs="Calibri"/>
        </w:rPr>
        <w:t xml:space="preserve"> waste</w:t>
      </w:r>
      <w:r w:rsidR="000E4540">
        <w:rPr>
          <w:rFonts w:ascii="Calibri" w:eastAsia="Calibri" w:hAnsi="Calibri" w:cs="Calibri"/>
        </w:rPr>
        <w:t xml:space="preserve">. In practical terms, that means </w:t>
      </w:r>
      <w:r w:rsidR="00204198">
        <w:rPr>
          <w:rFonts w:ascii="Calibri" w:eastAsia="Calibri" w:hAnsi="Calibri" w:cs="Calibri"/>
        </w:rPr>
        <w:t xml:space="preserve">that </w:t>
      </w:r>
      <w:r w:rsidR="00637B47">
        <w:rPr>
          <w:rFonts w:ascii="Calibri" w:eastAsia="Calibri" w:hAnsi="Calibri" w:cs="Calibri"/>
        </w:rPr>
        <w:t xml:space="preserve">broken </w:t>
      </w:r>
      <w:r w:rsidR="000E4540">
        <w:rPr>
          <w:rFonts w:ascii="Calibri" w:eastAsia="Calibri" w:hAnsi="Calibri" w:cs="Calibri"/>
        </w:rPr>
        <w:t xml:space="preserve">asbestos </w:t>
      </w:r>
      <w:r w:rsidR="00846E5D">
        <w:rPr>
          <w:rFonts w:ascii="Calibri" w:eastAsia="Calibri" w:hAnsi="Calibri" w:cs="Calibri"/>
        </w:rPr>
        <w:t xml:space="preserve">waste </w:t>
      </w:r>
      <w:r w:rsidR="009D03CA">
        <w:rPr>
          <w:rFonts w:ascii="Calibri" w:eastAsia="Calibri" w:hAnsi="Calibri" w:cs="Calibri"/>
        </w:rPr>
        <w:t xml:space="preserve">must </w:t>
      </w:r>
      <w:r w:rsidR="000E4540">
        <w:rPr>
          <w:rFonts w:ascii="Calibri" w:eastAsia="Calibri" w:hAnsi="Calibri" w:cs="Calibri"/>
        </w:rPr>
        <w:t xml:space="preserve">be placed in </w:t>
      </w:r>
      <w:r w:rsidR="00E427A1">
        <w:rPr>
          <w:rFonts w:ascii="Calibri" w:eastAsia="Calibri" w:hAnsi="Calibri" w:cs="Calibri"/>
        </w:rPr>
        <w:t xml:space="preserve">relevant </w:t>
      </w:r>
      <w:r w:rsidR="000E4540">
        <w:rPr>
          <w:rFonts w:ascii="Calibri" w:eastAsia="Calibri" w:hAnsi="Calibri" w:cs="Calibri"/>
        </w:rPr>
        <w:t xml:space="preserve">UN </w:t>
      </w:r>
      <w:r w:rsidR="005348C9">
        <w:rPr>
          <w:rFonts w:ascii="Calibri" w:eastAsia="Calibri" w:hAnsi="Calibri" w:cs="Calibri"/>
        </w:rPr>
        <w:t xml:space="preserve">certified </w:t>
      </w:r>
      <w:r w:rsidR="000E4540">
        <w:rPr>
          <w:rFonts w:ascii="Calibri" w:eastAsia="Calibri" w:hAnsi="Calibri" w:cs="Calibri"/>
        </w:rPr>
        <w:t>packaging and transported for disposal within an e</w:t>
      </w:r>
      <w:r w:rsidR="00315101">
        <w:rPr>
          <w:rFonts w:ascii="Calibri" w:eastAsia="Calibri" w:hAnsi="Calibri" w:cs="Calibri"/>
        </w:rPr>
        <w:t>n</w:t>
      </w:r>
      <w:r w:rsidR="000E4540">
        <w:rPr>
          <w:rFonts w:ascii="Calibri" w:eastAsia="Calibri" w:hAnsi="Calibri" w:cs="Calibri"/>
        </w:rPr>
        <w:t xml:space="preserve">closed container. </w:t>
      </w:r>
    </w:p>
    <w:p w14:paraId="235DFBFF" w14:textId="0E383102" w:rsidR="00315101" w:rsidRDefault="00315101" w:rsidP="002A0FCC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guidance sets out ESA’s expectations on the packaging and presentation of </w:t>
      </w:r>
      <w:r w:rsidR="006C347B">
        <w:rPr>
          <w:rFonts w:ascii="Calibri" w:eastAsia="Calibri" w:hAnsi="Calibri" w:cs="Calibri"/>
        </w:rPr>
        <w:t xml:space="preserve">loads of </w:t>
      </w:r>
      <w:r>
        <w:rPr>
          <w:rFonts w:ascii="Calibri" w:eastAsia="Calibri" w:hAnsi="Calibri" w:cs="Calibri"/>
        </w:rPr>
        <w:t xml:space="preserve">bonded asbestos waste for disposal and the steps landfill operators should take in the event of non-compliant loads </w:t>
      </w:r>
      <w:r w:rsidR="006C347B">
        <w:rPr>
          <w:rFonts w:ascii="Calibri" w:eastAsia="Calibri" w:hAnsi="Calibri" w:cs="Calibri"/>
        </w:rPr>
        <w:t xml:space="preserve">arriving for disposal. </w:t>
      </w:r>
      <w:r w:rsidR="00322E92">
        <w:rPr>
          <w:rFonts w:ascii="Calibri" w:eastAsia="Calibri" w:hAnsi="Calibri" w:cs="Calibri"/>
        </w:rPr>
        <w:t xml:space="preserve">Bonded asbestos is most often asbestos cement but can also include other items such as floor and </w:t>
      </w:r>
      <w:r w:rsidR="00BC0AC2">
        <w:rPr>
          <w:rFonts w:ascii="Calibri" w:eastAsia="Calibri" w:hAnsi="Calibri" w:cs="Calibri"/>
        </w:rPr>
        <w:t xml:space="preserve">roof </w:t>
      </w:r>
      <w:r w:rsidR="00322E92">
        <w:rPr>
          <w:rFonts w:ascii="Calibri" w:eastAsia="Calibri" w:hAnsi="Calibri" w:cs="Calibri"/>
        </w:rPr>
        <w:t xml:space="preserve">tiles. </w:t>
      </w:r>
      <w:r w:rsidR="006C347B">
        <w:rPr>
          <w:rFonts w:ascii="Calibri" w:eastAsia="Calibri" w:hAnsi="Calibri" w:cs="Calibri"/>
        </w:rPr>
        <w:t xml:space="preserve">The guidance remains under review and will be updated to include further information on the more technical </w:t>
      </w:r>
      <w:r w:rsidR="000668C1">
        <w:rPr>
          <w:rFonts w:ascii="Calibri" w:eastAsia="Calibri" w:hAnsi="Calibri" w:cs="Calibri"/>
        </w:rPr>
        <w:t xml:space="preserve">aspects of </w:t>
      </w:r>
      <w:r w:rsidR="006C347B">
        <w:rPr>
          <w:rFonts w:ascii="Calibri" w:eastAsia="Calibri" w:hAnsi="Calibri" w:cs="Calibri"/>
        </w:rPr>
        <w:t xml:space="preserve">asbestos </w:t>
      </w:r>
      <w:r w:rsidR="000731E2">
        <w:rPr>
          <w:rFonts w:ascii="Calibri" w:eastAsia="Calibri" w:hAnsi="Calibri" w:cs="Calibri"/>
        </w:rPr>
        <w:t xml:space="preserve">waste </w:t>
      </w:r>
      <w:r w:rsidR="006C347B">
        <w:rPr>
          <w:rFonts w:ascii="Calibri" w:eastAsia="Calibri" w:hAnsi="Calibri" w:cs="Calibri"/>
        </w:rPr>
        <w:t xml:space="preserve">management, along with </w:t>
      </w:r>
      <w:r w:rsidR="00204198">
        <w:rPr>
          <w:rFonts w:ascii="Calibri" w:eastAsia="Calibri" w:hAnsi="Calibri" w:cs="Calibri"/>
        </w:rPr>
        <w:t xml:space="preserve">additional </w:t>
      </w:r>
      <w:r w:rsidR="006C347B">
        <w:rPr>
          <w:rFonts w:ascii="Calibri" w:eastAsia="Calibri" w:hAnsi="Calibri" w:cs="Calibri"/>
        </w:rPr>
        <w:t xml:space="preserve">clarity on key areas of terminology used within various sources of HSE guidance. </w:t>
      </w:r>
    </w:p>
    <w:p w14:paraId="2F23D1BC" w14:textId="7329E0C7" w:rsidR="00637B47" w:rsidRPr="00637B47" w:rsidRDefault="00637B47" w:rsidP="00637B47">
      <w:pPr>
        <w:spacing w:after="120" w:line="264" w:lineRule="auto"/>
        <w:rPr>
          <w:rFonts w:asciiTheme="majorHAnsi" w:hAnsiTheme="majorHAnsi" w:cstheme="majorHAnsi"/>
        </w:rPr>
      </w:pPr>
      <w:r w:rsidRPr="00637B47">
        <w:rPr>
          <w:rFonts w:asciiTheme="majorHAnsi" w:hAnsiTheme="majorHAnsi" w:cstheme="majorHAnsi"/>
        </w:rPr>
        <w:t xml:space="preserve">Landfill operators, at point of disposal, have a key role to play in setting the standard and influencing changes in behaviour and practices further up the </w:t>
      </w:r>
      <w:r w:rsidR="00BC0AC2">
        <w:rPr>
          <w:rFonts w:asciiTheme="majorHAnsi" w:hAnsiTheme="majorHAnsi" w:cstheme="majorHAnsi"/>
        </w:rPr>
        <w:t xml:space="preserve">waste </w:t>
      </w:r>
      <w:r w:rsidRPr="00637B47">
        <w:rPr>
          <w:rFonts w:asciiTheme="majorHAnsi" w:hAnsiTheme="majorHAnsi" w:cstheme="majorHAnsi"/>
        </w:rPr>
        <w:t xml:space="preserve">asbestos management chain. </w:t>
      </w:r>
    </w:p>
    <w:p w14:paraId="52E7CEB9" w14:textId="4D9ABC3B" w:rsidR="000668C1" w:rsidRPr="00483775" w:rsidRDefault="00A532B4" w:rsidP="002A0FCC">
      <w:pPr>
        <w:spacing w:after="120" w:line="264" w:lineRule="auto"/>
        <w:rPr>
          <w:rFonts w:ascii="Calibri" w:eastAsia="Calibri" w:hAnsi="Calibri" w:cs="Calibri"/>
          <w:b/>
          <w:bCs/>
        </w:rPr>
      </w:pPr>
      <w:r w:rsidRPr="00483775">
        <w:rPr>
          <w:rFonts w:ascii="Calibri" w:eastAsia="Calibri" w:hAnsi="Calibri" w:cs="Calibri"/>
          <w:b/>
          <w:bCs/>
        </w:rPr>
        <w:t>C</w:t>
      </w:r>
      <w:r w:rsidR="000731E2">
        <w:rPr>
          <w:rFonts w:ascii="Calibri" w:eastAsia="Calibri" w:hAnsi="Calibri" w:cs="Calibri"/>
          <w:b/>
          <w:bCs/>
        </w:rPr>
        <w:t>D</w:t>
      </w:r>
      <w:r w:rsidRPr="00483775">
        <w:rPr>
          <w:rFonts w:ascii="Calibri" w:eastAsia="Calibri" w:hAnsi="Calibri" w:cs="Calibri"/>
          <w:b/>
          <w:bCs/>
        </w:rPr>
        <w:t xml:space="preserve">G/ADR Special Provision 168 </w:t>
      </w:r>
    </w:p>
    <w:p w14:paraId="0CA4BD8F" w14:textId="3EE7C6F8" w:rsidR="00FF68F7" w:rsidRDefault="00285E7F" w:rsidP="002A0FCC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SP168 provides an </w:t>
      </w:r>
      <w:r w:rsidR="00483775">
        <w:rPr>
          <w:rFonts w:ascii="Calibri" w:eastAsia="Calibri" w:hAnsi="Calibri" w:cs="Calibri"/>
        </w:rPr>
        <w:t xml:space="preserve">exemption </w:t>
      </w:r>
      <w:r>
        <w:rPr>
          <w:rFonts w:ascii="Calibri" w:eastAsia="Calibri" w:hAnsi="Calibri" w:cs="Calibri"/>
        </w:rPr>
        <w:t>from C</w:t>
      </w:r>
      <w:r w:rsidR="000731E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G/ADR </w:t>
      </w:r>
      <w:r w:rsidR="000731E2">
        <w:rPr>
          <w:rFonts w:ascii="Calibri" w:eastAsia="Calibri" w:hAnsi="Calibri" w:cs="Calibri"/>
        </w:rPr>
        <w:t xml:space="preserve">(rules on the carriage of dangerous goods) </w:t>
      </w:r>
      <w:r w:rsidR="00483775">
        <w:rPr>
          <w:rFonts w:ascii="Calibri" w:eastAsia="Calibri" w:hAnsi="Calibri" w:cs="Calibri"/>
        </w:rPr>
        <w:t xml:space="preserve">for the transport of asbestos bound in cement, </w:t>
      </w:r>
      <w:r>
        <w:rPr>
          <w:rFonts w:ascii="Calibri" w:eastAsia="Calibri" w:hAnsi="Calibri" w:cs="Calibri"/>
        </w:rPr>
        <w:t xml:space="preserve">and with </w:t>
      </w:r>
      <w:hyperlink r:id="rId9" w:history="1">
        <w:r w:rsidRPr="00285E7F">
          <w:rPr>
            <w:rStyle w:val="Hyperlink"/>
            <w:rFonts w:ascii="Calibri" w:eastAsia="Calibri" w:hAnsi="Calibri" w:cs="Calibri"/>
          </w:rPr>
          <w:t>HSE guidance</w:t>
        </w:r>
      </w:hyperlink>
      <w:r>
        <w:rPr>
          <w:rFonts w:ascii="Calibri" w:eastAsia="Calibri" w:hAnsi="Calibri" w:cs="Calibri"/>
        </w:rPr>
        <w:t xml:space="preserve"> </w:t>
      </w:r>
      <w:r w:rsidR="00FF68F7">
        <w:rPr>
          <w:rFonts w:ascii="Calibri" w:eastAsia="Calibri" w:hAnsi="Calibri" w:cs="Calibri"/>
        </w:rPr>
        <w:t xml:space="preserve">setting out the relevant requirements and </w:t>
      </w:r>
      <w:r>
        <w:rPr>
          <w:rFonts w:ascii="Calibri" w:eastAsia="Calibri" w:hAnsi="Calibri" w:cs="Calibri"/>
        </w:rPr>
        <w:t xml:space="preserve">providing examples of </w:t>
      </w:r>
      <w:r w:rsidR="00FF68F7">
        <w:rPr>
          <w:rFonts w:ascii="Calibri" w:eastAsia="Calibri" w:hAnsi="Calibri" w:cs="Calibri"/>
        </w:rPr>
        <w:t>the types of asbestos to which this exemption appl</w:t>
      </w:r>
      <w:r w:rsidR="00322E92">
        <w:rPr>
          <w:rFonts w:ascii="Calibri" w:eastAsia="Calibri" w:hAnsi="Calibri" w:cs="Calibri"/>
        </w:rPr>
        <w:t xml:space="preserve">ies. </w:t>
      </w:r>
    </w:p>
    <w:p w14:paraId="21F580D5" w14:textId="68E790DD" w:rsidR="00FF68F7" w:rsidRDefault="00483775" w:rsidP="002A0FCC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are some loads in which the SP168 exemption could legitimately apply</w:t>
      </w:r>
      <w:r w:rsidR="00FF68F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285E7F">
        <w:rPr>
          <w:rFonts w:ascii="Calibri" w:eastAsia="Calibri" w:hAnsi="Calibri" w:cs="Calibri"/>
        </w:rPr>
        <w:t xml:space="preserve">such as whole or unbroken asbestos sheets or pipes which have been removed </w:t>
      </w:r>
      <w:r w:rsidR="008C4745">
        <w:rPr>
          <w:rFonts w:ascii="Calibri" w:eastAsia="Calibri" w:hAnsi="Calibri" w:cs="Calibri"/>
        </w:rPr>
        <w:t xml:space="preserve">from </w:t>
      </w:r>
      <w:r w:rsidR="00285E7F">
        <w:rPr>
          <w:rFonts w:ascii="Calibri" w:eastAsia="Calibri" w:hAnsi="Calibri" w:cs="Calibri"/>
        </w:rPr>
        <w:t>demolition project</w:t>
      </w:r>
      <w:r w:rsidR="00BC0AC2">
        <w:rPr>
          <w:rFonts w:ascii="Calibri" w:eastAsia="Calibri" w:hAnsi="Calibri" w:cs="Calibri"/>
        </w:rPr>
        <w:t>s</w:t>
      </w:r>
      <w:r w:rsidR="008C4745">
        <w:rPr>
          <w:rFonts w:ascii="Calibri" w:eastAsia="Calibri" w:hAnsi="Calibri" w:cs="Calibri"/>
        </w:rPr>
        <w:t xml:space="preserve"> </w:t>
      </w:r>
      <w:r w:rsidR="000731E2">
        <w:rPr>
          <w:rFonts w:ascii="Calibri" w:eastAsia="Calibri" w:hAnsi="Calibri" w:cs="Calibri"/>
        </w:rPr>
        <w:t xml:space="preserve">with </w:t>
      </w:r>
      <w:r w:rsidR="00322E92">
        <w:rPr>
          <w:rFonts w:ascii="Calibri" w:eastAsia="Calibri" w:hAnsi="Calibri" w:cs="Calibri"/>
        </w:rPr>
        <w:t xml:space="preserve">minimal </w:t>
      </w:r>
      <w:r w:rsidR="000731E2">
        <w:rPr>
          <w:rFonts w:ascii="Calibri" w:eastAsia="Calibri" w:hAnsi="Calibri" w:cs="Calibri"/>
        </w:rPr>
        <w:t>breakage</w:t>
      </w:r>
      <w:r w:rsidR="00D870AF">
        <w:rPr>
          <w:rFonts w:ascii="Calibri" w:eastAsia="Calibri" w:hAnsi="Calibri" w:cs="Calibri"/>
        </w:rPr>
        <w:t xml:space="preserve">. There are no specific requirements on the packaging of asbestos material in such cases and standard practice is to either </w:t>
      </w:r>
      <w:r w:rsidR="00D870AF" w:rsidRPr="00D870AF">
        <w:rPr>
          <w:rFonts w:ascii="Calibri" w:eastAsia="Calibri" w:hAnsi="Calibri" w:cs="Calibri"/>
        </w:rPr>
        <w:t xml:space="preserve">place sheets in a lined </w:t>
      </w:r>
      <w:r w:rsidR="00D870AF">
        <w:rPr>
          <w:rFonts w:ascii="Calibri" w:eastAsia="Calibri" w:hAnsi="Calibri" w:cs="Calibri"/>
        </w:rPr>
        <w:t xml:space="preserve">container </w:t>
      </w:r>
      <w:r w:rsidR="00D870AF" w:rsidRPr="00D870AF">
        <w:rPr>
          <w:rFonts w:ascii="Calibri" w:eastAsia="Calibri" w:hAnsi="Calibri" w:cs="Calibri"/>
        </w:rPr>
        <w:t>and wrap as a parcel</w:t>
      </w:r>
      <w:r w:rsidR="00D870AF">
        <w:rPr>
          <w:rFonts w:ascii="Calibri" w:eastAsia="Calibri" w:hAnsi="Calibri" w:cs="Calibri"/>
        </w:rPr>
        <w:t xml:space="preserve">, or </w:t>
      </w:r>
      <w:r w:rsidR="00D870AF" w:rsidRPr="00D870AF">
        <w:rPr>
          <w:rFonts w:ascii="Calibri" w:eastAsia="Calibri" w:hAnsi="Calibri" w:cs="Calibri"/>
        </w:rPr>
        <w:t>wrap sheets and place in an unlined container</w:t>
      </w:r>
      <w:r w:rsidR="00D870AF">
        <w:rPr>
          <w:rFonts w:ascii="Calibri" w:eastAsia="Calibri" w:hAnsi="Calibri" w:cs="Calibri"/>
        </w:rPr>
        <w:t xml:space="preserve">. </w:t>
      </w:r>
    </w:p>
    <w:p w14:paraId="47D6876C" w14:textId="757450B6" w:rsidR="00285E7F" w:rsidRPr="0096186F" w:rsidRDefault="00285E7F" w:rsidP="002A0FCC">
      <w:pPr>
        <w:spacing w:after="120" w:line="264" w:lineRule="auto"/>
        <w:rPr>
          <w:rFonts w:asciiTheme="majorHAnsi" w:hAnsiTheme="majorHAnsi" w:cstheme="majorHAnsi"/>
        </w:rPr>
      </w:pPr>
      <w:r w:rsidRPr="0096186F">
        <w:rPr>
          <w:rFonts w:ascii="Calibri" w:eastAsia="Calibri" w:hAnsi="Calibri" w:cs="Calibri"/>
        </w:rPr>
        <w:t>However</w:t>
      </w:r>
      <w:r w:rsidR="00FF68F7" w:rsidRPr="0096186F">
        <w:rPr>
          <w:rFonts w:ascii="Calibri" w:eastAsia="Calibri" w:hAnsi="Calibri" w:cs="Calibri"/>
        </w:rPr>
        <w:t xml:space="preserve">, </w:t>
      </w:r>
      <w:r w:rsidR="004A6754" w:rsidRPr="0096186F">
        <w:rPr>
          <w:rFonts w:ascii="Calibri" w:eastAsia="Calibri" w:hAnsi="Calibri" w:cs="Calibri"/>
        </w:rPr>
        <w:t xml:space="preserve">while </w:t>
      </w:r>
      <w:r w:rsidR="00846E5D" w:rsidRPr="0096186F">
        <w:rPr>
          <w:rFonts w:ascii="Calibri" w:eastAsia="Calibri" w:hAnsi="Calibri" w:cs="Calibri"/>
        </w:rPr>
        <w:t>ESA Member</w:t>
      </w:r>
      <w:r w:rsidR="004A6754" w:rsidRPr="0096186F">
        <w:rPr>
          <w:rFonts w:ascii="Calibri" w:eastAsia="Calibri" w:hAnsi="Calibri" w:cs="Calibri"/>
        </w:rPr>
        <w:t xml:space="preserve">s work hard with customers to ensure that loads are delivered in line with site standards there nonetheless remains instances where </w:t>
      </w:r>
      <w:r w:rsidR="00846E5D" w:rsidRPr="0096186F">
        <w:rPr>
          <w:rFonts w:ascii="Calibri" w:eastAsia="Calibri" w:hAnsi="Calibri" w:cs="Calibri"/>
        </w:rPr>
        <w:t>asbestos waste arrive</w:t>
      </w:r>
      <w:r w:rsidR="004A6754" w:rsidRPr="0096186F">
        <w:rPr>
          <w:rFonts w:ascii="Calibri" w:eastAsia="Calibri" w:hAnsi="Calibri" w:cs="Calibri"/>
        </w:rPr>
        <w:t xml:space="preserve">s </w:t>
      </w:r>
      <w:r w:rsidR="00374752" w:rsidRPr="0096186F">
        <w:rPr>
          <w:rFonts w:ascii="Calibri" w:eastAsia="Calibri" w:hAnsi="Calibri" w:cs="Calibri"/>
        </w:rPr>
        <w:t xml:space="preserve">at landfill </w:t>
      </w:r>
      <w:r w:rsidR="00D870AF">
        <w:rPr>
          <w:rFonts w:ascii="Calibri" w:eastAsia="Calibri" w:hAnsi="Calibri" w:cs="Calibri"/>
        </w:rPr>
        <w:t xml:space="preserve">sites </w:t>
      </w:r>
      <w:r w:rsidR="00846E5D" w:rsidRPr="0096186F">
        <w:rPr>
          <w:rFonts w:asciiTheme="majorHAnsi" w:hAnsiTheme="majorHAnsi" w:cstheme="majorHAnsi"/>
        </w:rPr>
        <w:t>broken</w:t>
      </w:r>
      <w:r w:rsidR="00D870AF">
        <w:rPr>
          <w:rFonts w:asciiTheme="majorHAnsi" w:hAnsiTheme="majorHAnsi" w:cstheme="majorHAnsi"/>
        </w:rPr>
        <w:t>,</w:t>
      </w:r>
      <w:r w:rsidR="00CD1749" w:rsidRPr="0096186F">
        <w:rPr>
          <w:rFonts w:asciiTheme="majorHAnsi" w:hAnsiTheme="majorHAnsi" w:cstheme="majorHAnsi"/>
        </w:rPr>
        <w:t xml:space="preserve"> </w:t>
      </w:r>
      <w:r w:rsidR="00846E5D" w:rsidRPr="0096186F">
        <w:rPr>
          <w:rFonts w:asciiTheme="majorHAnsi" w:hAnsiTheme="majorHAnsi" w:cstheme="majorHAnsi"/>
        </w:rPr>
        <w:t xml:space="preserve">unwrapped in open containers, </w:t>
      </w:r>
      <w:r w:rsidR="004A6754" w:rsidRPr="0096186F">
        <w:rPr>
          <w:rFonts w:asciiTheme="majorHAnsi" w:hAnsiTheme="majorHAnsi" w:cstheme="majorHAnsi"/>
        </w:rPr>
        <w:t xml:space="preserve">or </w:t>
      </w:r>
      <w:r w:rsidR="00846E5D" w:rsidRPr="0096186F">
        <w:rPr>
          <w:rFonts w:asciiTheme="majorHAnsi" w:hAnsiTheme="majorHAnsi" w:cstheme="majorHAnsi"/>
        </w:rPr>
        <w:t xml:space="preserve">mixed with general C&amp;D waste. </w:t>
      </w:r>
    </w:p>
    <w:p w14:paraId="1EF63280" w14:textId="11707713" w:rsidR="008665D2" w:rsidRDefault="00CD1749" w:rsidP="008665D2">
      <w:pPr>
        <w:spacing w:after="120" w:line="264" w:lineRule="auto"/>
        <w:rPr>
          <w:rFonts w:asciiTheme="majorHAnsi" w:hAnsiTheme="majorHAnsi" w:cstheme="majorHAnsi"/>
        </w:rPr>
      </w:pPr>
      <w:r w:rsidRPr="00322E92">
        <w:rPr>
          <w:rFonts w:asciiTheme="majorHAnsi" w:hAnsiTheme="majorHAnsi" w:cstheme="majorHAnsi"/>
        </w:rPr>
        <w:t xml:space="preserve">In such cases, waste asbestos </w:t>
      </w:r>
      <w:r w:rsidR="00374752" w:rsidRPr="00322E92">
        <w:rPr>
          <w:rFonts w:asciiTheme="majorHAnsi" w:hAnsiTheme="majorHAnsi" w:cstheme="majorHAnsi"/>
        </w:rPr>
        <w:t xml:space="preserve">can no longer </w:t>
      </w:r>
      <w:r w:rsidRPr="00322E92">
        <w:rPr>
          <w:rFonts w:asciiTheme="majorHAnsi" w:hAnsiTheme="majorHAnsi" w:cstheme="majorHAnsi"/>
        </w:rPr>
        <w:t>be considered “</w:t>
      </w:r>
      <w:r w:rsidR="00322E92" w:rsidRPr="00322E92">
        <w:rPr>
          <w:rFonts w:asciiTheme="majorHAnsi" w:hAnsiTheme="majorHAnsi" w:cstheme="majorHAnsi"/>
          <w:lang w:val="en-US"/>
        </w:rPr>
        <w:t>fixed in a natural or artificial binder</w:t>
      </w:r>
      <w:r w:rsidR="00322E92">
        <w:rPr>
          <w:rFonts w:asciiTheme="majorHAnsi" w:hAnsiTheme="majorHAnsi" w:cstheme="majorHAnsi"/>
          <w:lang w:val="en-US"/>
        </w:rPr>
        <w:t xml:space="preserve"> </w:t>
      </w:r>
      <w:r w:rsidR="00322E92" w:rsidRPr="00322E92">
        <w:rPr>
          <w:rFonts w:asciiTheme="majorHAnsi" w:hAnsiTheme="majorHAnsi" w:cstheme="majorHAnsi"/>
          <w:lang w:val="en-US"/>
        </w:rPr>
        <w:t xml:space="preserve">in such a way that no escape of hazardous quantities of respirable asbestos </w:t>
      </w:r>
      <w:proofErr w:type="spellStart"/>
      <w:r w:rsidR="00322E92" w:rsidRPr="00322E92">
        <w:rPr>
          <w:rFonts w:asciiTheme="majorHAnsi" w:hAnsiTheme="majorHAnsi" w:cstheme="majorHAnsi"/>
          <w:lang w:val="en-US"/>
        </w:rPr>
        <w:t>fibres</w:t>
      </w:r>
      <w:proofErr w:type="spellEnd"/>
      <w:r w:rsidR="00322E92" w:rsidRPr="00322E92">
        <w:rPr>
          <w:rFonts w:asciiTheme="majorHAnsi" w:hAnsiTheme="majorHAnsi" w:cstheme="majorHAnsi"/>
          <w:lang w:val="en-US"/>
        </w:rPr>
        <w:t xml:space="preserve"> can occur during </w:t>
      </w:r>
      <w:r w:rsidR="00322E92" w:rsidRPr="00322E92">
        <w:rPr>
          <w:rFonts w:asciiTheme="majorHAnsi" w:hAnsiTheme="majorHAnsi" w:cstheme="majorHAnsi"/>
          <w:lang w:val="en-US"/>
        </w:rPr>
        <w:lastRenderedPageBreak/>
        <w:t>carriage</w:t>
      </w:r>
      <w:r w:rsidRPr="00322E92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(a condition for exempting the transport of bonded asbestos </w:t>
      </w:r>
      <w:r w:rsidR="00011B29">
        <w:rPr>
          <w:rFonts w:asciiTheme="majorHAnsi" w:hAnsiTheme="majorHAnsi" w:cstheme="majorHAnsi"/>
        </w:rPr>
        <w:t>under SP168</w:t>
      </w:r>
      <w:r>
        <w:rPr>
          <w:rFonts w:asciiTheme="majorHAnsi" w:hAnsiTheme="majorHAnsi" w:cstheme="majorHAnsi"/>
        </w:rPr>
        <w:t xml:space="preserve">) and </w:t>
      </w:r>
      <w:r w:rsidR="00011B29">
        <w:rPr>
          <w:rFonts w:asciiTheme="majorHAnsi" w:hAnsiTheme="majorHAnsi" w:cstheme="majorHAnsi"/>
        </w:rPr>
        <w:t xml:space="preserve">therefore ADR rules </w:t>
      </w:r>
      <w:r w:rsidR="001848DD">
        <w:rPr>
          <w:rFonts w:asciiTheme="majorHAnsi" w:hAnsiTheme="majorHAnsi" w:cstheme="majorHAnsi"/>
        </w:rPr>
        <w:t xml:space="preserve">for </w:t>
      </w:r>
      <w:r w:rsidR="007A5DC4">
        <w:rPr>
          <w:rFonts w:asciiTheme="majorHAnsi" w:hAnsiTheme="majorHAnsi" w:cstheme="majorHAnsi"/>
        </w:rPr>
        <w:t>fibrous asbestos</w:t>
      </w:r>
      <w:r w:rsidR="00322E92">
        <w:rPr>
          <w:rFonts w:asciiTheme="majorHAnsi" w:hAnsiTheme="majorHAnsi" w:cstheme="majorHAnsi"/>
        </w:rPr>
        <w:t xml:space="preserve"> apply. This </w:t>
      </w:r>
      <w:r w:rsidR="007A5DC4">
        <w:rPr>
          <w:rFonts w:asciiTheme="majorHAnsi" w:hAnsiTheme="majorHAnsi" w:cstheme="majorHAnsi"/>
        </w:rPr>
        <w:t>includes bonded asbestos either broken or in a poor condition</w:t>
      </w:r>
      <w:r w:rsidR="00011B29">
        <w:rPr>
          <w:rFonts w:asciiTheme="majorHAnsi" w:hAnsiTheme="majorHAnsi" w:cstheme="majorHAnsi"/>
        </w:rPr>
        <w:t xml:space="preserve">. </w:t>
      </w:r>
      <w:r w:rsidR="008665D2">
        <w:rPr>
          <w:rFonts w:asciiTheme="majorHAnsi" w:hAnsiTheme="majorHAnsi" w:cstheme="majorHAnsi"/>
        </w:rPr>
        <w:t xml:space="preserve">Unfortunately, </w:t>
      </w:r>
      <w:r w:rsidR="000731E2">
        <w:rPr>
          <w:rFonts w:asciiTheme="majorHAnsi" w:hAnsiTheme="majorHAnsi" w:cstheme="majorHAnsi"/>
        </w:rPr>
        <w:t xml:space="preserve">many within the asbestos management chain appear under the </w:t>
      </w:r>
      <w:r w:rsidR="008665D2">
        <w:rPr>
          <w:rFonts w:asciiTheme="majorHAnsi" w:hAnsiTheme="majorHAnsi" w:cstheme="majorHAnsi"/>
        </w:rPr>
        <w:t xml:space="preserve">misapprehension that SP168 </w:t>
      </w:r>
      <w:r w:rsidR="000731E2">
        <w:rPr>
          <w:rFonts w:asciiTheme="majorHAnsi" w:hAnsiTheme="majorHAnsi" w:cstheme="majorHAnsi"/>
        </w:rPr>
        <w:t xml:space="preserve">provides a blanket </w:t>
      </w:r>
      <w:r w:rsidR="008665D2">
        <w:rPr>
          <w:rFonts w:asciiTheme="majorHAnsi" w:hAnsiTheme="majorHAnsi" w:cstheme="majorHAnsi"/>
        </w:rPr>
        <w:t xml:space="preserve">exemption to all loads of bonded asbestos wastes, regardless of its condition. </w:t>
      </w:r>
    </w:p>
    <w:p w14:paraId="7AB60C54" w14:textId="72071DDD" w:rsidR="00374752" w:rsidRDefault="00374752" w:rsidP="002A0FCC">
      <w:pPr>
        <w:spacing w:after="120"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ADR requirements </w:t>
      </w:r>
      <w:r w:rsidR="008665D2">
        <w:rPr>
          <w:rFonts w:asciiTheme="majorHAnsi" w:hAnsiTheme="majorHAnsi" w:cstheme="majorHAnsi"/>
        </w:rPr>
        <w:t xml:space="preserve">for loads of </w:t>
      </w:r>
      <w:r w:rsidR="009F7420">
        <w:rPr>
          <w:rFonts w:asciiTheme="majorHAnsi" w:hAnsiTheme="majorHAnsi" w:cstheme="majorHAnsi"/>
        </w:rPr>
        <w:t xml:space="preserve">fibrous </w:t>
      </w:r>
      <w:r w:rsidR="008665D2">
        <w:rPr>
          <w:rFonts w:asciiTheme="majorHAnsi" w:hAnsiTheme="majorHAnsi" w:cstheme="majorHAnsi"/>
        </w:rPr>
        <w:t xml:space="preserve">asbestos </w:t>
      </w:r>
      <w:r>
        <w:rPr>
          <w:rFonts w:asciiTheme="majorHAnsi" w:hAnsiTheme="majorHAnsi" w:cstheme="majorHAnsi"/>
        </w:rPr>
        <w:t xml:space="preserve">are explained in </w:t>
      </w:r>
      <w:hyperlink r:id="rId10" w:history="1">
        <w:r w:rsidRPr="00374752">
          <w:rPr>
            <w:rStyle w:val="Hyperlink"/>
            <w:rFonts w:asciiTheme="majorHAnsi" w:hAnsiTheme="majorHAnsi" w:cstheme="majorHAnsi"/>
          </w:rPr>
          <w:t>HSE guidance</w:t>
        </w:r>
      </w:hyperlink>
      <w:r>
        <w:rPr>
          <w:rFonts w:asciiTheme="majorHAnsi" w:hAnsiTheme="majorHAnsi" w:cstheme="majorHAnsi"/>
        </w:rPr>
        <w:t xml:space="preserve">, and summarised as follows: </w:t>
      </w:r>
    </w:p>
    <w:p w14:paraId="01540767" w14:textId="0C3DA676" w:rsidR="00E47BA5" w:rsidRPr="00E47BA5" w:rsidRDefault="00E47BA5" w:rsidP="00E47BA5">
      <w:pPr>
        <w:pStyle w:val="ListParagraph"/>
        <w:numPr>
          <w:ilvl w:val="0"/>
          <w:numId w:val="12"/>
        </w:numPr>
        <w:spacing w:after="120" w:line="264" w:lineRule="auto"/>
        <w:rPr>
          <w:rFonts w:asciiTheme="majorHAnsi" w:hAnsiTheme="majorHAnsi" w:cstheme="majorHAnsi"/>
        </w:rPr>
      </w:pPr>
      <w:r w:rsidRPr="00E47BA5">
        <w:rPr>
          <w:rFonts w:asciiTheme="majorHAnsi" w:hAnsiTheme="majorHAnsi" w:cstheme="majorHAnsi"/>
        </w:rPr>
        <w:t xml:space="preserve">asbestos waste </w:t>
      </w:r>
      <w:r w:rsidR="009D03CA">
        <w:rPr>
          <w:rFonts w:asciiTheme="majorHAnsi" w:hAnsiTheme="majorHAnsi" w:cstheme="majorHAnsi"/>
        </w:rPr>
        <w:t>must</w:t>
      </w:r>
      <w:r w:rsidRPr="00E47BA5">
        <w:rPr>
          <w:rFonts w:asciiTheme="majorHAnsi" w:hAnsiTheme="majorHAnsi" w:cstheme="majorHAnsi"/>
        </w:rPr>
        <w:t xml:space="preserve"> be properly packaged in </w:t>
      </w:r>
      <w:r w:rsidR="00E427A1">
        <w:rPr>
          <w:rFonts w:asciiTheme="majorHAnsi" w:hAnsiTheme="majorHAnsi" w:cstheme="majorHAnsi"/>
        </w:rPr>
        <w:t xml:space="preserve">relevant </w:t>
      </w:r>
      <w:r w:rsidRPr="00E47BA5">
        <w:rPr>
          <w:rFonts w:asciiTheme="majorHAnsi" w:hAnsiTheme="majorHAnsi" w:cstheme="majorHAnsi"/>
        </w:rPr>
        <w:t xml:space="preserve">UN certified packaging </w:t>
      </w:r>
      <w:r w:rsidRPr="00E47BA5">
        <w:rPr>
          <w:rFonts w:asciiTheme="majorHAnsi" w:hAnsiTheme="majorHAnsi" w:cstheme="majorHAnsi"/>
          <w:color w:val="111111"/>
        </w:rPr>
        <w:t>(usually double bagged in red inner and clear outer polythene bags that are tested and certified</w:t>
      </w:r>
      <w:r>
        <w:rPr>
          <w:rFonts w:asciiTheme="majorHAnsi" w:hAnsiTheme="majorHAnsi" w:cstheme="majorHAnsi"/>
          <w:color w:val="111111"/>
        </w:rPr>
        <w:t>)</w:t>
      </w:r>
    </w:p>
    <w:p w14:paraId="6FBD6311" w14:textId="39977F03" w:rsidR="00E47BA5" w:rsidRPr="00E47BA5" w:rsidRDefault="00E47BA5" w:rsidP="00E47BA5">
      <w:pPr>
        <w:pStyle w:val="ListParagraph"/>
        <w:numPr>
          <w:ilvl w:val="0"/>
          <w:numId w:val="12"/>
        </w:numPr>
        <w:spacing w:after="120"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111111"/>
        </w:rPr>
        <w:t>properly consigned as specified in CDG/ADR</w:t>
      </w:r>
    </w:p>
    <w:p w14:paraId="38F1BB6B" w14:textId="2FA425B2" w:rsidR="00E47BA5" w:rsidRPr="00E47BA5" w:rsidRDefault="00E47BA5" w:rsidP="00E47BA5">
      <w:pPr>
        <w:pStyle w:val="ListParagraph"/>
        <w:numPr>
          <w:ilvl w:val="0"/>
          <w:numId w:val="12"/>
        </w:numPr>
        <w:spacing w:after="120"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111111"/>
        </w:rPr>
        <w:t xml:space="preserve">carriage documentation </w:t>
      </w:r>
      <w:r w:rsidR="00A02984">
        <w:rPr>
          <w:rFonts w:asciiTheme="majorHAnsi" w:hAnsiTheme="majorHAnsi" w:cstheme="majorHAnsi"/>
          <w:color w:val="111111"/>
        </w:rPr>
        <w:t xml:space="preserve">required </w:t>
      </w:r>
      <w:r>
        <w:rPr>
          <w:rFonts w:asciiTheme="majorHAnsi" w:hAnsiTheme="majorHAnsi" w:cstheme="majorHAnsi"/>
          <w:color w:val="111111"/>
        </w:rPr>
        <w:t>if load exceeds the load limit exemption (</w:t>
      </w:r>
      <w:r w:rsidR="001848DD">
        <w:rPr>
          <w:rFonts w:asciiTheme="majorHAnsi" w:hAnsiTheme="majorHAnsi" w:cstheme="majorHAnsi"/>
          <w:color w:val="111111"/>
        </w:rPr>
        <w:t xml:space="preserve">this </w:t>
      </w:r>
      <w:r>
        <w:rPr>
          <w:rFonts w:asciiTheme="majorHAnsi" w:hAnsiTheme="majorHAnsi" w:cstheme="majorHAnsi"/>
          <w:color w:val="111111"/>
        </w:rPr>
        <w:t xml:space="preserve">will likely be exceeded by most container loads of waste asbestos) </w:t>
      </w:r>
      <w:r>
        <w:rPr>
          <w:rFonts w:asciiTheme="majorHAnsi" w:hAnsiTheme="majorHAnsi" w:cstheme="majorHAnsi"/>
          <w:color w:val="111111"/>
        </w:rPr>
        <w:tab/>
      </w:r>
    </w:p>
    <w:p w14:paraId="07E358CE" w14:textId="4746F2A2" w:rsidR="00E47BA5" w:rsidRPr="007A5DC4" w:rsidRDefault="00E47BA5" w:rsidP="00E47BA5">
      <w:pPr>
        <w:pStyle w:val="ListParagraph"/>
        <w:numPr>
          <w:ilvl w:val="0"/>
          <w:numId w:val="12"/>
        </w:numPr>
        <w:spacing w:after="120" w:line="264" w:lineRule="auto"/>
        <w:rPr>
          <w:rFonts w:asciiTheme="majorHAnsi" w:hAnsiTheme="majorHAnsi" w:cstheme="majorHAnsi"/>
        </w:rPr>
      </w:pPr>
      <w:r w:rsidRPr="007A5DC4">
        <w:rPr>
          <w:rFonts w:asciiTheme="majorHAnsi" w:hAnsiTheme="majorHAnsi" w:cstheme="majorHAnsi"/>
        </w:rPr>
        <w:t>transported in a closed container</w:t>
      </w:r>
      <w:r w:rsidR="007A5DC4">
        <w:rPr>
          <w:rFonts w:asciiTheme="majorHAnsi" w:hAnsiTheme="majorHAnsi" w:cstheme="majorHAnsi"/>
        </w:rPr>
        <w:t xml:space="preserve">. This </w:t>
      </w:r>
      <w:r w:rsidRPr="007A5DC4">
        <w:rPr>
          <w:rFonts w:asciiTheme="majorHAnsi" w:hAnsiTheme="majorHAnsi" w:cstheme="majorHAnsi"/>
        </w:rPr>
        <w:t xml:space="preserve">means </w:t>
      </w:r>
      <w:r w:rsidRPr="007A5DC4">
        <w:rPr>
          <w:rFonts w:asciiTheme="majorHAnsi" w:hAnsiTheme="majorHAnsi" w:cstheme="majorHAnsi"/>
          <w:lang w:eastAsia="en-GB"/>
        </w:rPr>
        <w:t>a totally enclosed container having a rigid roof, rigid side walls, rigid end walls and a floor</w:t>
      </w:r>
      <w:r w:rsidR="007A5DC4" w:rsidRPr="007A5DC4">
        <w:rPr>
          <w:rFonts w:asciiTheme="majorHAnsi" w:hAnsiTheme="majorHAnsi" w:cstheme="majorHAnsi"/>
          <w:lang w:eastAsia="en-GB"/>
        </w:rPr>
        <w:t xml:space="preserve">. </w:t>
      </w:r>
      <w:r w:rsidR="007A5DC4" w:rsidRPr="007A5DC4">
        <w:rPr>
          <w:rFonts w:asciiTheme="majorHAnsi" w:hAnsiTheme="majorHAnsi" w:cstheme="majorHAnsi"/>
          <w:lang w:eastAsia="en-GB"/>
        </w:rPr>
        <w:tab/>
        <w:t xml:space="preserve">ADR is quite clear that open containers, and those covered by a tarpaulin, are not permitted for the transport </w:t>
      </w:r>
      <w:r w:rsidR="007A5DC4">
        <w:rPr>
          <w:rFonts w:asciiTheme="majorHAnsi" w:hAnsiTheme="majorHAnsi" w:cstheme="majorHAnsi"/>
          <w:lang w:eastAsia="en-GB"/>
        </w:rPr>
        <w:t xml:space="preserve">of this type of asbestos </w:t>
      </w:r>
      <w:r w:rsidR="007A5DC4" w:rsidRPr="007A5DC4">
        <w:rPr>
          <w:rFonts w:asciiTheme="majorHAnsi" w:hAnsiTheme="majorHAnsi" w:cstheme="majorHAnsi"/>
          <w:lang w:eastAsia="en-GB"/>
        </w:rPr>
        <w:t>waste</w:t>
      </w:r>
      <w:r w:rsidR="001848DD">
        <w:rPr>
          <w:rFonts w:asciiTheme="majorHAnsi" w:hAnsiTheme="majorHAnsi" w:cstheme="majorHAnsi"/>
          <w:lang w:eastAsia="en-GB"/>
        </w:rPr>
        <w:t>.</w:t>
      </w:r>
    </w:p>
    <w:p w14:paraId="1F23ACEB" w14:textId="324ECD73" w:rsidR="001848DD" w:rsidRPr="001848DD" w:rsidRDefault="001848DD" w:rsidP="001848DD">
      <w:pPr>
        <w:spacing w:after="120" w:line="264" w:lineRule="auto"/>
        <w:rPr>
          <w:rFonts w:asciiTheme="majorHAnsi" w:hAnsiTheme="majorHAnsi" w:cstheme="majorHAnsi"/>
        </w:rPr>
      </w:pPr>
      <w:r w:rsidRPr="001848DD">
        <w:rPr>
          <w:rFonts w:asciiTheme="majorHAnsi" w:eastAsia="Calibri" w:hAnsiTheme="majorHAnsi" w:cstheme="majorHAnsi"/>
        </w:rPr>
        <w:t>It is worth noting that there is no quantifiable threshold for determining if asbestos waste is “broken”</w:t>
      </w:r>
      <w:r w:rsidR="009F7420">
        <w:rPr>
          <w:rFonts w:asciiTheme="majorHAnsi" w:eastAsia="Calibri" w:hAnsiTheme="majorHAnsi" w:cstheme="majorHAnsi"/>
        </w:rPr>
        <w:t xml:space="preserve"> </w:t>
      </w:r>
      <w:r w:rsidRPr="001848DD">
        <w:rPr>
          <w:rFonts w:asciiTheme="majorHAnsi" w:eastAsia="Calibri" w:hAnsiTheme="majorHAnsi" w:cstheme="majorHAnsi"/>
        </w:rPr>
        <w:t xml:space="preserve">or in “poor condition”. ADR rules apply to </w:t>
      </w:r>
      <w:r w:rsidRPr="001848DD">
        <w:rPr>
          <w:rFonts w:asciiTheme="majorHAnsi" w:hAnsiTheme="majorHAnsi" w:cstheme="majorHAnsi"/>
        </w:rPr>
        <w:t xml:space="preserve">any waste “where the escape of hazardous quantities of respirable asbestos fibres can occur during carriage”. While a review and update of this ESA guidance aims to assist with additional clarity on key terminology it will likely remain a judgment call for landfill site operators upon initial assessment of loads of asbestos waste at the weighbridge. </w:t>
      </w:r>
    </w:p>
    <w:p w14:paraId="3B1E9415" w14:textId="77777777" w:rsidR="001848DD" w:rsidRDefault="001848DD" w:rsidP="008665D2">
      <w:pPr>
        <w:spacing w:after="120" w:line="264" w:lineRule="auto"/>
        <w:rPr>
          <w:rFonts w:ascii="Calibri" w:eastAsia="Calibri" w:hAnsi="Calibri" w:cs="Calibri"/>
          <w:b/>
        </w:rPr>
      </w:pPr>
    </w:p>
    <w:p w14:paraId="6C7FB1CC" w14:textId="69C8101A" w:rsidR="008665D2" w:rsidRDefault="008665D2" w:rsidP="008665D2">
      <w:pPr>
        <w:spacing w:after="120"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Responsibilities:</w:t>
      </w:r>
    </w:p>
    <w:p w14:paraId="79D4C409" w14:textId="297DD481" w:rsidR="008665D2" w:rsidRDefault="008665D2" w:rsidP="008665D2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Responsibilities relating to the disposal of bonded asbestos (cement) waste falls to three main parties: the waste producer, the waste carrier and the disposal location (</w:t>
      </w:r>
      <w:r w:rsidR="001848DD">
        <w:rPr>
          <w:rFonts w:ascii="Calibri" w:eastAsia="Calibri" w:hAnsi="Calibri" w:cs="Calibri"/>
        </w:rPr>
        <w:t xml:space="preserve">in practice, </w:t>
      </w:r>
      <w:r>
        <w:rPr>
          <w:rFonts w:ascii="Calibri" w:eastAsia="Calibri" w:hAnsi="Calibri" w:cs="Calibri"/>
        </w:rPr>
        <w:t xml:space="preserve">the producer and carrier may </w:t>
      </w:r>
      <w:r w:rsidR="001848DD">
        <w:rPr>
          <w:rFonts w:ascii="Calibri" w:eastAsia="Calibri" w:hAnsi="Calibri" w:cs="Calibri"/>
        </w:rPr>
        <w:t xml:space="preserve">often </w:t>
      </w:r>
      <w:r>
        <w:rPr>
          <w:rFonts w:ascii="Calibri" w:eastAsia="Calibri" w:hAnsi="Calibri" w:cs="Calibri"/>
        </w:rPr>
        <w:t xml:space="preserve">be </w:t>
      </w:r>
      <w:r w:rsidR="001848DD">
        <w:rPr>
          <w:rFonts w:ascii="Calibri" w:eastAsia="Calibri" w:hAnsi="Calibri" w:cs="Calibri"/>
        </w:rPr>
        <w:t>one and the same</w:t>
      </w:r>
      <w:r>
        <w:rPr>
          <w:rFonts w:ascii="Calibri" w:eastAsia="Calibri" w:hAnsi="Calibri" w:cs="Calibri"/>
        </w:rPr>
        <w:t>). The key responsibilities are highlighted below.</w:t>
      </w:r>
    </w:p>
    <w:p w14:paraId="727180E2" w14:textId="77777777" w:rsidR="008665D2" w:rsidRDefault="008665D2" w:rsidP="008665D2">
      <w:pPr>
        <w:spacing w:after="120"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Producer:</w:t>
      </w:r>
    </w:p>
    <w:p w14:paraId="076A426F" w14:textId="153138F5" w:rsidR="008665D2" w:rsidRDefault="008665D2" w:rsidP="008665D2">
      <w:pPr>
        <w:numPr>
          <w:ilvl w:val="0"/>
          <w:numId w:val="3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 asbestos waste correctly. As a minimum bonded asbestos waste should be wrapped </w:t>
      </w:r>
      <w:r w:rsidR="009F7420"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</w:rPr>
        <w:t>in a lined container, but (as above) full ADR rules apply to broken asbestos</w:t>
      </w:r>
      <w:r w:rsidR="001848DD">
        <w:rPr>
          <w:rFonts w:ascii="Calibri" w:eastAsia="Calibri" w:hAnsi="Calibri" w:cs="Calibri"/>
        </w:rPr>
        <w:t xml:space="preserve"> (</w:t>
      </w:r>
      <w:proofErr w:type="spellStart"/>
      <w:r w:rsidR="001848DD">
        <w:rPr>
          <w:rFonts w:ascii="Calibri" w:eastAsia="Calibri" w:hAnsi="Calibri" w:cs="Calibri"/>
        </w:rPr>
        <w:t>ie</w:t>
      </w:r>
      <w:proofErr w:type="spellEnd"/>
      <w:r w:rsidR="001848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asbestos in a poor condition</w:t>
      </w:r>
      <w:r w:rsidR="001848D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</w:p>
    <w:p w14:paraId="12835832" w14:textId="77777777" w:rsidR="008665D2" w:rsidRDefault="008665D2" w:rsidP="008665D2">
      <w:pPr>
        <w:numPr>
          <w:ilvl w:val="0"/>
          <w:numId w:val="3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a container appropriate to whether the asbestos waste is transported under SP168 or consigned under ADR</w:t>
      </w:r>
    </w:p>
    <w:p w14:paraId="53DB2EA9" w14:textId="77777777" w:rsidR="008665D2" w:rsidRDefault="008665D2" w:rsidP="008665D2">
      <w:pPr>
        <w:numPr>
          <w:ilvl w:val="0"/>
          <w:numId w:val="3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a licensed waste carrier</w:t>
      </w:r>
    </w:p>
    <w:p w14:paraId="1A99E196" w14:textId="1F9FAE7F" w:rsidR="008665D2" w:rsidRDefault="008665D2" w:rsidP="008665D2">
      <w:pPr>
        <w:numPr>
          <w:ilvl w:val="0"/>
          <w:numId w:val="3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Correctly </w:t>
      </w:r>
      <w:r w:rsidR="00DE3890">
        <w:rPr>
          <w:rFonts w:ascii="Calibri" w:eastAsia="Calibri" w:hAnsi="Calibri" w:cs="Calibri"/>
        </w:rPr>
        <w:t>consign as hazardous waste (</w:t>
      </w:r>
      <w:r w:rsidR="00B2399F">
        <w:rPr>
          <w:rFonts w:ascii="Calibri" w:eastAsia="Calibri" w:hAnsi="Calibri" w:cs="Calibri"/>
        </w:rPr>
        <w:t xml:space="preserve">see </w:t>
      </w:r>
      <w:hyperlink r:id="rId11" w:history="1">
        <w:r w:rsidR="00B2399F" w:rsidRPr="00B2399F">
          <w:rPr>
            <w:rStyle w:val="Hyperlink"/>
            <w:rFonts w:ascii="Calibri" w:eastAsia="Calibri" w:hAnsi="Calibri" w:cs="Calibri"/>
          </w:rPr>
          <w:t>guidance</w:t>
        </w:r>
      </w:hyperlink>
      <w:r w:rsidR="00B2399F">
        <w:rPr>
          <w:rFonts w:ascii="Calibri" w:eastAsia="Calibri" w:hAnsi="Calibri" w:cs="Calibri"/>
        </w:rPr>
        <w:t xml:space="preserve"> on </w:t>
      </w:r>
      <w:r w:rsidR="00B57000">
        <w:rPr>
          <w:rFonts w:ascii="Calibri" w:eastAsia="Calibri" w:hAnsi="Calibri" w:cs="Calibri"/>
        </w:rPr>
        <w:t xml:space="preserve">producer responsibilities for </w:t>
      </w:r>
      <w:r w:rsidR="00DE3890" w:rsidRPr="00B2399F">
        <w:rPr>
          <w:rFonts w:ascii="Calibri" w:eastAsia="Calibri" w:hAnsi="Calibri" w:cs="Calibri"/>
        </w:rPr>
        <w:t>hazardous waste consignment note</w:t>
      </w:r>
      <w:r w:rsidR="00B2399F">
        <w:rPr>
          <w:rFonts w:ascii="Calibri" w:eastAsia="Calibri" w:hAnsi="Calibri" w:cs="Calibri"/>
        </w:rPr>
        <w:t>s</w:t>
      </w:r>
      <w:r w:rsidR="00DE3890">
        <w:rPr>
          <w:rFonts w:ascii="Calibri" w:eastAsia="Calibri" w:hAnsi="Calibri" w:cs="Calibri"/>
        </w:rPr>
        <w:t xml:space="preserve">) </w:t>
      </w:r>
    </w:p>
    <w:p w14:paraId="1C700951" w14:textId="46126E28" w:rsidR="008665D2" w:rsidRDefault="008665D2" w:rsidP="008665D2">
      <w:pPr>
        <w:spacing w:after="120"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Carrier (transport):</w:t>
      </w:r>
    </w:p>
    <w:p w14:paraId="11222964" w14:textId="77777777" w:rsidR="008665D2" w:rsidRDefault="008665D2" w:rsidP="008665D2">
      <w:pPr>
        <w:numPr>
          <w:ilvl w:val="0"/>
          <w:numId w:val="1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Transport asbestos in a container appropriate to whether it is transported under SP168 or consigned under ADR</w:t>
      </w:r>
    </w:p>
    <w:p w14:paraId="669AA74F" w14:textId="616316D7" w:rsidR="008665D2" w:rsidRDefault="00DB5872" w:rsidP="008665D2">
      <w:pPr>
        <w:numPr>
          <w:ilvl w:val="0"/>
          <w:numId w:val="1"/>
        </w:numPr>
        <w:spacing w:after="120" w:line="264" w:lineRule="auto"/>
        <w:rPr>
          <w:rFonts w:ascii="Calibri" w:eastAsia="Calibri" w:hAnsi="Calibri" w:cs="Calibri"/>
        </w:rPr>
      </w:pPr>
      <w:hyperlink r:id="rId12" w:history="1">
        <w:r w:rsidR="00B2399F" w:rsidRPr="00B2399F">
          <w:rPr>
            <w:rStyle w:val="Hyperlink"/>
            <w:rFonts w:ascii="Calibri" w:eastAsia="Calibri" w:hAnsi="Calibri" w:cs="Calibri"/>
          </w:rPr>
          <w:t>Hazardous waste consignment notes</w:t>
        </w:r>
      </w:hyperlink>
      <w:r w:rsidR="00B2399F">
        <w:rPr>
          <w:rFonts w:ascii="Calibri" w:eastAsia="Calibri" w:hAnsi="Calibri" w:cs="Calibri"/>
        </w:rPr>
        <w:t xml:space="preserve"> are </w:t>
      </w:r>
      <w:r w:rsidR="008665D2">
        <w:rPr>
          <w:rFonts w:ascii="Calibri" w:eastAsia="Calibri" w:hAnsi="Calibri" w:cs="Calibri"/>
        </w:rPr>
        <w:t>correctly completed and carried by the driver at all times</w:t>
      </w:r>
    </w:p>
    <w:p w14:paraId="4DB7C0ED" w14:textId="5E2B183A" w:rsidR="00AA203B" w:rsidRPr="00AA203B" w:rsidRDefault="00AA203B" w:rsidP="00AA203B">
      <w:pPr>
        <w:numPr>
          <w:ilvl w:val="0"/>
          <w:numId w:val="1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Ensure that any required paperwork, marking and labelling is readily available/visible to the enforcing authorities in the event the vehicle is stopped for inspection during the journey. If using SP168, it should be clear why this applies</w:t>
      </w:r>
    </w:p>
    <w:p w14:paraId="56117490" w14:textId="3A864FFF" w:rsidR="008665D2" w:rsidRPr="003B6E54" w:rsidRDefault="008665D2" w:rsidP="008665D2">
      <w:pPr>
        <w:numPr>
          <w:ilvl w:val="0"/>
          <w:numId w:val="1"/>
        </w:numPr>
        <w:spacing w:after="120" w:line="264" w:lineRule="auto"/>
        <w:rPr>
          <w:rFonts w:asciiTheme="majorHAnsi" w:eastAsia="Calibri" w:hAnsiTheme="majorHAnsi" w:cstheme="majorHAnsi"/>
        </w:rPr>
      </w:pPr>
      <w:r w:rsidRPr="003B6E54">
        <w:rPr>
          <w:rFonts w:asciiTheme="majorHAnsi" w:hAnsiTheme="majorHAnsi" w:cstheme="majorHAnsi"/>
        </w:rPr>
        <w:t xml:space="preserve">Provide additional PPE for drivers - disposable overalls, overshoes and gloves. FFP3 disposable dust masks which are correctly face fitted (see </w:t>
      </w:r>
      <w:hyperlink r:id="rId13" w:history="1">
        <w:r w:rsidRPr="003B6E54">
          <w:rPr>
            <w:rStyle w:val="Hyperlink"/>
            <w:rFonts w:asciiTheme="majorHAnsi" w:hAnsiTheme="majorHAnsi" w:cstheme="majorHAnsi"/>
          </w:rPr>
          <w:t>INDG479</w:t>
        </w:r>
      </w:hyperlink>
      <w:r w:rsidRPr="003B6E54">
        <w:rPr>
          <w:rFonts w:asciiTheme="majorHAnsi" w:hAnsiTheme="majorHAnsi" w:cstheme="majorHAnsi"/>
        </w:rPr>
        <w:t xml:space="preserve"> for guidance) </w:t>
      </w:r>
      <w:r w:rsidR="004A6754" w:rsidRPr="0096186F">
        <w:rPr>
          <w:rFonts w:asciiTheme="majorHAnsi" w:hAnsiTheme="majorHAnsi" w:cstheme="majorHAnsi"/>
        </w:rPr>
        <w:t xml:space="preserve">(note: PPE requirements may vary depending on site H&amp;S procedures) </w:t>
      </w:r>
    </w:p>
    <w:p w14:paraId="76B1A39B" w14:textId="77777777" w:rsidR="008665D2" w:rsidRPr="003B6E54" w:rsidRDefault="008665D2" w:rsidP="008665D2">
      <w:pPr>
        <w:spacing w:after="120" w:line="264" w:lineRule="auto"/>
        <w:rPr>
          <w:rFonts w:ascii="Calibri" w:eastAsia="Calibri" w:hAnsi="Calibri" w:cs="Calibri"/>
        </w:rPr>
      </w:pPr>
      <w:r w:rsidRPr="003B6E54">
        <w:rPr>
          <w:rFonts w:ascii="Calibri" w:eastAsia="Calibri" w:hAnsi="Calibri" w:cs="Calibri"/>
          <w:b/>
        </w:rPr>
        <w:t>Disposal:</w:t>
      </w:r>
    </w:p>
    <w:p w14:paraId="17DE75B6" w14:textId="77777777" w:rsidR="008665D2" w:rsidRDefault="008665D2" w:rsidP="008665D2">
      <w:pPr>
        <w:numPr>
          <w:ilvl w:val="0"/>
          <w:numId w:val="2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Licensed site</w:t>
      </w:r>
    </w:p>
    <w:p w14:paraId="4C567918" w14:textId="10E95BEE" w:rsidR="008665D2" w:rsidRDefault="008665D2" w:rsidP="008665D2">
      <w:pPr>
        <w:numPr>
          <w:ilvl w:val="0"/>
          <w:numId w:val="2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PPE for drivers (as specified above) put on before tipping commences and disposed of with the waste material </w:t>
      </w:r>
      <w:r w:rsidRPr="009E11AB">
        <w:rPr>
          <w:rFonts w:asciiTheme="majorHAnsi" w:eastAsia="Calibri" w:hAnsiTheme="majorHAnsi" w:cstheme="majorHAnsi"/>
        </w:rPr>
        <w:t xml:space="preserve">- </w:t>
      </w:r>
      <w:r w:rsidRPr="009E11AB">
        <w:rPr>
          <w:rFonts w:asciiTheme="majorHAnsi" w:hAnsiTheme="majorHAnsi" w:cstheme="majorHAnsi"/>
        </w:rPr>
        <w:t>other standard PPE, for example a hard hat or safety gog</w:t>
      </w:r>
      <w:r w:rsidR="004A6754">
        <w:rPr>
          <w:rFonts w:asciiTheme="majorHAnsi" w:hAnsiTheme="majorHAnsi" w:cstheme="majorHAnsi"/>
        </w:rPr>
        <w:t>g</w:t>
      </w:r>
      <w:r w:rsidRPr="009E11AB">
        <w:rPr>
          <w:rFonts w:asciiTheme="majorHAnsi" w:hAnsiTheme="majorHAnsi" w:cstheme="majorHAnsi"/>
        </w:rPr>
        <w:t>les will also be required</w:t>
      </w:r>
    </w:p>
    <w:p w14:paraId="2C706D7B" w14:textId="38ADBF20" w:rsidR="008665D2" w:rsidRDefault="008665D2" w:rsidP="008665D2">
      <w:pPr>
        <w:numPr>
          <w:ilvl w:val="0"/>
          <w:numId w:val="2"/>
        </w:numPr>
        <w:spacing w:after="12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Fully completed Waste Duty of Care paperwork (</w:t>
      </w:r>
      <w:r w:rsidR="00B57000">
        <w:rPr>
          <w:rFonts w:ascii="Calibri" w:eastAsia="Calibri" w:hAnsi="Calibri" w:cs="Calibri"/>
        </w:rPr>
        <w:t xml:space="preserve">including </w:t>
      </w:r>
      <w:hyperlink r:id="rId14" w:history="1">
        <w:r w:rsidRPr="00B2399F">
          <w:rPr>
            <w:rStyle w:val="Hyperlink"/>
            <w:rFonts w:ascii="Calibri" w:eastAsia="Calibri" w:hAnsi="Calibri" w:cs="Calibri"/>
          </w:rPr>
          <w:t>Hazardous Waste Consignment Note</w:t>
        </w:r>
      </w:hyperlink>
      <w:r>
        <w:rPr>
          <w:rFonts w:ascii="Calibri" w:eastAsia="Calibri" w:hAnsi="Calibri" w:cs="Calibri"/>
        </w:rPr>
        <w:t xml:space="preserve">) with waste correctly categorised </w:t>
      </w:r>
    </w:p>
    <w:p w14:paraId="7024C067" w14:textId="77777777" w:rsidR="008665D2" w:rsidRPr="009E11AB" w:rsidRDefault="008665D2" w:rsidP="008665D2">
      <w:pPr>
        <w:numPr>
          <w:ilvl w:val="0"/>
          <w:numId w:val="2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>Visual inspection at the weighbridge to confirm correct presentation / containment for waste type where possible</w:t>
      </w:r>
    </w:p>
    <w:p w14:paraId="4CF61C83" w14:textId="77777777" w:rsidR="008665D2" w:rsidRPr="009E11AB" w:rsidRDefault="008665D2" w:rsidP="008665D2">
      <w:pPr>
        <w:numPr>
          <w:ilvl w:val="0"/>
          <w:numId w:val="2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eastAsia="Calibri" w:hAnsiTheme="majorHAnsi" w:cstheme="majorHAnsi"/>
        </w:rPr>
        <w:t>Visual check at point of disposal to confirm compliance (</w:t>
      </w:r>
      <w:proofErr w:type="spellStart"/>
      <w:r w:rsidRPr="009E11AB">
        <w:rPr>
          <w:rFonts w:asciiTheme="majorHAnsi" w:eastAsia="Calibri" w:hAnsiTheme="majorHAnsi" w:cstheme="majorHAnsi"/>
        </w:rPr>
        <w:t>e.g</w:t>
      </w:r>
      <w:proofErr w:type="spellEnd"/>
      <w:r w:rsidRPr="009E11AB">
        <w:rPr>
          <w:rFonts w:asciiTheme="majorHAnsi" w:eastAsia="Calibri" w:hAnsiTheme="majorHAnsi" w:cstheme="majorHAnsi"/>
        </w:rPr>
        <w:t xml:space="preserve"> bagging / wrapping, waste type).  Non-compliances reported to site manager.</w:t>
      </w:r>
    </w:p>
    <w:p w14:paraId="18B0B96A" w14:textId="77777777" w:rsidR="008665D2" w:rsidRPr="009E11AB" w:rsidRDefault="008665D2" w:rsidP="008665D2">
      <w:pPr>
        <w:numPr>
          <w:ilvl w:val="0"/>
          <w:numId w:val="2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>Asbestos waste is covered as soon as possible after tipping - all asbestos waste is covered before site closes</w:t>
      </w:r>
    </w:p>
    <w:p w14:paraId="4EC5D998" w14:textId="77777777" w:rsidR="008665D2" w:rsidRPr="009E11AB" w:rsidRDefault="008665D2" w:rsidP="008665D2">
      <w:pPr>
        <w:numPr>
          <w:ilvl w:val="0"/>
          <w:numId w:val="2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 xml:space="preserve">Written procedures in place for dealing with non-compliant loads </w:t>
      </w:r>
      <w:proofErr w:type="spellStart"/>
      <w:r w:rsidRPr="009E11AB">
        <w:rPr>
          <w:rFonts w:asciiTheme="majorHAnsi" w:hAnsiTheme="majorHAnsi" w:cstheme="majorHAnsi"/>
        </w:rPr>
        <w:t>e.g</w:t>
      </w:r>
      <w:proofErr w:type="spellEnd"/>
      <w:r>
        <w:rPr>
          <w:rFonts w:asciiTheme="majorHAnsi" w:hAnsiTheme="majorHAnsi" w:cstheme="majorHAnsi"/>
        </w:rPr>
        <w:t xml:space="preserve">: </w:t>
      </w:r>
    </w:p>
    <w:p w14:paraId="17397E01" w14:textId="77777777" w:rsidR="008665D2" w:rsidRPr="009E11AB" w:rsidRDefault="008665D2" w:rsidP="008665D2">
      <w:pPr>
        <w:pStyle w:val="ListParagraph"/>
        <w:numPr>
          <w:ilvl w:val="0"/>
          <w:numId w:val="13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 xml:space="preserve">rejecting load if identified prior to tipping; </w:t>
      </w:r>
    </w:p>
    <w:p w14:paraId="13A3A16A" w14:textId="77777777" w:rsidR="008665D2" w:rsidRPr="009E11AB" w:rsidRDefault="008665D2" w:rsidP="008665D2">
      <w:pPr>
        <w:pStyle w:val="ListParagraph"/>
        <w:numPr>
          <w:ilvl w:val="0"/>
          <w:numId w:val="13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 xml:space="preserve">waste removed or covered as soon as possible; </w:t>
      </w:r>
    </w:p>
    <w:p w14:paraId="07742A11" w14:textId="77777777" w:rsidR="008665D2" w:rsidRPr="009E11AB" w:rsidRDefault="008665D2" w:rsidP="008665D2">
      <w:pPr>
        <w:pStyle w:val="ListParagraph"/>
        <w:numPr>
          <w:ilvl w:val="0"/>
          <w:numId w:val="13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 xml:space="preserve">quarantine; </w:t>
      </w:r>
    </w:p>
    <w:p w14:paraId="0E7E7764" w14:textId="77777777" w:rsidR="008665D2" w:rsidRPr="009E11AB" w:rsidRDefault="008665D2" w:rsidP="008665D2">
      <w:pPr>
        <w:pStyle w:val="ListParagraph"/>
        <w:numPr>
          <w:ilvl w:val="0"/>
          <w:numId w:val="13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 xml:space="preserve">informing the producer / carrier </w:t>
      </w:r>
    </w:p>
    <w:p w14:paraId="24B6E70F" w14:textId="77777777" w:rsidR="008665D2" w:rsidRPr="009E11AB" w:rsidRDefault="008665D2" w:rsidP="008665D2">
      <w:pPr>
        <w:numPr>
          <w:ilvl w:val="0"/>
          <w:numId w:val="2"/>
        </w:numPr>
        <w:spacing w:after="120" w:line="264" w:lineRule="auto"/>
        <w:rPr>
          <w:rFonts w:asciiTheme="majorHAnsi" w:eastAsia="Calibri" w:hAnsiTheme="majorHAnsi" w:cstheme="majorHAnsi"/>
        </w:rPr>
      </w:pPr>
      <w:r w:rsidRPr="009E11AB">
        <w:rPr>
          <w:rFonts w:asciiTheme="majorHAnsi" w:hAnsiTheme="majorHAnsi" w:cstheme="majorHAnsi"/>
        </w:rPr>
        <w:t>Means for damping available in the event of damaged sheets / split bags</w:t>
      </w:r>
    </w:p>
    <w:p w14:paraId="1153D11E" w14:textId="77777777" w:rsidR="006B4831" w:rsidRDefault="006B4831" w:rsidP="002A0FCC">
      <w:pPr>
        <w:spacing w:after="120" w:line="264" w:lineRule="auto"/>
        <w:rPr>
          <w:rFonts w:asciiTheme="majorHAnsi" w:hAnsiTheme="majorHAnsi" w:cstheme="majorHAnsi"/>
        </w:rPr>
      </w:pPr>
    </w:p>
    <w:p w14:paraId="0C71E53D" w14:textId="13BCED2E" w:rsidR="004F49D5" w:rsidRDefault="004F49D5" w:rsidP="002A0FCC">
      <w:pPr>
        <w:spacing w:after="120" w:line="264" w:lineRule="auto"/>
        <w:rPr>
          <w:rFonts w:asciiTheme="majorHAnsi" w:hAnsiTheme="majorHAnsi" w:cstheme="majorHAnsi"/>
          <w:b/>
          <w:bCs/>
        </w:rPr>
      </w:pPr>
      <w:r w:rsidRPr="004F49D5">
        <w:rPr>
          <w:rFonts w:asciiTheme="majorHAnsi" w:hAnsiTheme="majorHAnsi" w:cstheme="majorHAnsi"/>
          <w:b/>
          <w:bCs/>
        </w:rPr>
        <w:t>Minimum standards for receiving bonded asbestos at landfill sites</w:t>
      </w:r>
    </w:p>
    <w:p w14:paraId="08A94DF9" w14:textId="77777777" w:rsidR="00337F42" w:rsidRPr="002C289B" w:rsidRDefault="00337F42" w:rsidP="00337F42">
      <w:pPr>
        <w:spacing w:after="120" w:line="264" w:lineRule="auto"/>
        <w:rPr>
          <w:rFonts w:asciiTheme="majorHAnsi" w:hAnsiTheme="majorHAnsi" w:cstheme="majorHAnsi"/>
          <w:b/>
          <w:bCs/>
        </w:rPr>
      </w:pPr>
      <w:r w:rsidRPr="002C289B">
        <w:rPr>
          <w:rFonts w:asciiTheme="majorHAnsi" w:hAnsiTheme="majorHAnsi" w:cstheme="majorHAnsi"/>
          <w:b/>
          <w:bCs/>
        </w:rPr>
        <w:t xml:space="preserve">Acceptable </w:t>
      </w:r>
    </w:p>
    <w:p w14:paraId="62210925" w14:textId="024FA29B" w:rsidR="00337F42" w:rsidRDefault="00337F42" w:rsidP="00337F42">
      <w:pPr>
        <w:pStyle w:val="ListParagraph"/>
        <w:numPr>
          <w:ilvl w:val="0"/>
          <w:numId w:val="15"/>
        </w:numPr>
        <w:spacing w:after="120" w:line="264" w:lineRule="auto"/>
        <w:rPr>
          <w:rFonts w:asciiTheme="majorHAnsi" w:hAnsiTheme="majorHAnsi" w:cstheme="majorHAnsi"/>
        </w:rPr>
      </w:pPr>
      <w:r w:rsidRPr="002C289B">
        <w:rPr>
          <w:rFonts w:asciiTheme="majorHAnsi" w:hAnsiTheme="majorHAnsi" w:cstheme="majorHAnsi"/>
        </w:rPr>
        <w:t xml:space="preserve">Whole/unbroken pieces of </w:t>
      </w:r>
      <w:r>
        <w:rPr>
          <w:rFonts w:asciiTheme="majorHAnsi" w:hAnsiTheme="majorHAnsi" w:cstheme="majorHAnsi"/>
        </w:rPr>
        <w:t xml:space="preserve">bonded </w:t>
      </w:r>
      <w:r w:rsidRPr="002C289B">
        <w:rPr>
          <w:rFonts w:asciiTheme="majorHAnsi" w:hAnsiTheme="majorHAnsi" w:cstheme="majorHAnsi"/>
        </w:rPr>
        <w:t xml:space="preserve">asbestos or large pieces with </w:t>
      </w:r>
      <w:r w:rsidR="005348C9">
        <w:rPr>
          <w:rFonts w:asciiTheme="majorHAnsi" w:hAnsiTheme="majorHAnsi" w:cstheme="majorHAnsi"/>
        </w:rPr>
        <w:t>minimal</w:t>
      </w:r>
      <w:r w:rsidRPr="002C289B">
        <w:rPr>
          <w:rFonts w:asciiTheme="majorHAnsi" w:hAnsiTheme="majorHAnsi" w:cstheme="majorHAnsi"/>
        </w:rPr>
        <w:t xml:space="preserve"> breakage wrapped </w:t>
      </w:r>
      <w:r w:rsidR="00CE4BEA">
        <w:rPr>
          <w:rFonts w:asciiTheme="majorHAnsi" w:hAnsiTheme="majorHAnsi" w:cstheme="majorHAnsi"/>
        </w:rPr>
        <w:t xml:space="preserve">in ‘parcels’ </w:t>
      </w:r>
      <w:r w:rsidR="00DB5872">
        <w:rPr>
          <w:rFonts w:asciiTheme="majorHAnsi" w:hAnsiTheme="majorHAnsi" w:cstheme="majorHAnsi"/>
        </w:rPr>
        <w:t xml:space="preserve">or </w:t>
      </w:r>
      <w:r w:rsidRPr="002C289B">
        <w:rPr>
          <w:rFonts w:asciiTheme="majorHAnsi" w:hAnsiTheme="majorHAnsi" w:cstheme="majorHAnsi"/>
        </w:rPr>
        <w:t xml:space="preserve">within a lined container. </w:t>
      </w:r>
    </w:p>
    <w:p w14:paraId="178C9E80" w14:textId="75ADF2DF" w:rsidR="00337F42" w:rsidRPr="00337F42" w:rsidRDefault="00337F42" w:rsidP="002A0FCC">
      <w:pPr>
        <w:pStyle w:val="ListParagraph"/>
        <w:numPr>
          <w:ilvl w:val="0"/>
          <w:numId w:val="15"/>
        </w:numPr>
        <w:spacing w:after="120"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Asbestos waste consigned under and compliant with ADR </w:t>
      </w:r>
    </w:p>
    <w:p w14:paraId="3A8C04BA" w14:textId="38AB1D37" w:rsidR="009074A9" w:rsidRDefault="009074A9" w:rsidP="002A0FCC">
      <w:pPr>
        <w:spacing w:after="120" w:line="264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Not acceptable</w:t>
      </w:r>
    </w:p>
    <w:p w14:paraId="521B70A9" w14:textId="6BDFAF21" w:rsidR="005D6211" w:rsidRPr="009074A9" w:rsidRDefault="005D6211" w:rsidP="009074A9">
      <w:pPr>
        <w:pStyle w:val="ListParagraph"/>
        <w:numPr>
          <w:ilvl w:val="0"/>
          <w:numId w:val="14"/>
        </w:numPr>
        <w:spacing w:after="120" w:line="264" w:lineRule="auto"/>
        <w:rPr>
          <w:rFonts w:asciiTheme="majorHAnsi" w:hAnsiTheme="majorHAnsi" w:cstheme="majorHAnsi"/>
        </w:rPr>
      </w:pPr>
      <w:r w:rsidRPr="009074A9">
        <w:rPr>
          <w:rFonts w:asciiTheme="majorHAnsi" w:hAnsiTheme="majorHAnsi" w:cstheme="majorHAnsi"/>
        </w:rPr>
        <w:t>Broken</w:t>
      </w:r>
      <w:r w:rsidR="00337F42">
        <w:rPr>
          <w:rFonts w:asciiTheme="majorHAnsi" w:hAnsiTheme="majorHAnsi" w:cstheme="majorHAnsi"/>
        </w:rPr>
        <w:t xml:space="preserve"> </w:t>
      </w:r>
      <w:r w:rsidRPr="009074A9">
        <w:rPr>
          <w:rFonts w:asciiTheme="majorHAnsi" w:hAnsiTheme="majorHAnsi" w:cstheme="majorHAnsi"/>
        </w:rPr>
        <w:t xml:space="preserve">unbagged asbestos </w:t>
      </w:r>
    </w:p>
    <w:p w14:paraId="29B1540B" w14:textId="7F4E8723" w:rsidR="009074A9" w:rsidRDefault="009074A9" w:rsidP="009074A9">
      <w:pPr>
        <w:pStyle w:val="ListParagraph"/>
        <w:numPr>
          <w:ilvl w:val="0"/>
          <w:numId w:val="14"/>
        </w:numPr>
        <w:spacing w:after="120" w:line="264" w:lineRule="auto"/>
        <w:rPr>
          <w:rFonts w:asciiTheme="majorHAnsi" w:hAnsiTheme="majorHAnsi" w:cstheme="majorHAnsi"/>
        </w:rPr>
      </w:pPr>
      <w:r w:rsidRPr="009074A9">
        <w:rPr>
          <w:rFonts w:asciiTheme="majorHAnsi" w:hAnsiTheme="majorHAnsi" w:cstheme="majorHAnsi"/>
        </w:rPr>
        <w:t xml:space="preserve">Large </w:t>
      </w:r>
      <w:r w:rsidR="00585EDC">
        <w:rPr>
          <w:rFonts w:asciiTheme="majorHAnsi" w:hAnsiTheme="majorHAnsi" w:cstheme="majorHAnsi"/>
        </w:rPr>
        <w:t xml:space="preserve">bonded </w:t>
      </w:r>
      <w:r w:rsidRPr="009074A9">
        <w:rPr>
          <w:rFonts w:asciiTheme="majorHAnsi" w:hAnsiTheme="majorHAnsi" w:cstheme="majorHAnsi"/>
        </w:rPr>
        <w:t>asbestos sheets loose and unwrapped</w:t>
      </w:r>
      <w:r w:rsidR="001848DD">
        <w:rPr>
          <w:rFonts w:asciiTheme="majorHAnsi" w:hAnsiTheme="majorHAnsi" w:cstheme="majorHAnsi"/>
        </w:rPr>
        <w:t xml:space="preserve"> within </w:t>
      </w:r>
      <w:r w:rsidR="00585EDC">
        <w:rPr>
          <w:rFonts w:asciiTheme="majorHAnsi" w:hAnsiTheme="majorHAnsi" w:cstheme="majorHAnsi"/>
        </w:rPr>
        <w:t>open container</w:t>
      </w:r>
      <w:r w:rsidRPr="009074A9">
        <w:rPr>
          <w:rFonts w:asciiTheme="majorHAnsi" w:hAnsiTheme="majorHAnsi" w:cstheme="majorHAnsi"/>
        </w:rPr>
        <w:t xml:space="preserve">. </w:t>
      </w:r>
    </w:p>
    <w:p w14:paraId="10CD49BD" w14:textId="32BE8BC2" w:rsidR="009074A9" w:rsidRDefault="009074A9" w:rsidP="009074A9">
      <w:pPr>
        <w:pStyle w:val="ListParagraph"/>
        <w:numPr>
          <w:ilvl w:val="0"/>
          <w:numId w:val="14"/>
        </w:numPr>
        <w:spacing w:after="120"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Broken a</w:t>
      </w:r>
      <w:r w:rsidRPr="009074A9">
        <w:rPr>
          <w:rFonts w:asciiTheme="majorHAnsi" w:hAnsiTheme="majorHAnsi" w:cstheme="majorHAnsi"/>
        </w:rPr>
        <w:t>sbestos waste transported in open skips/containers. It is not acceptable to throw sheeting over a standard skip.</w:t>
      </w:r>
    </w:p>
    <w:p w14:paraId="6BC52A50" w14:textId="6CBDE6C6" w:rsidR="009074A9" w:rsidRDefault="009074A9" w:rsidP="009074A9">
      <w:pPr>
        <w:spacing w:after="120" w:line="264" w:lineRule="auto"/>
        <w:rPr>
          <w:rFonts w:ascii="Calibri" w:eastAsia="Calibri" w:hAnsi="Calibri" w:cs="Calibri"/>
        </w:rPr>
      </w:pPr>
      <w:r>
        <w:rPr>
          <w:rFonts w:asciiTheme="majorHAnsi" w:hAnsiTheme="majorHAnsi" w:cstheme="majorHAnsi"/>
        </w:rPr>
        <w:t xml:space="preserve">To confirm, </w:t>
      </w:r>
      <w:r>
        <w:rPr>
          <w:rFonts w:ascii="Calibri" w:eastAsia="Calibri" w:hAnsi="Calibri" w:cs="Calibri"/>
        </w:rPr>
        <w:t xml:space="preserve">full ADR rules apply to </w:t>
      </w:r>
      <w:r w:rsidR="002C289B">
        <w:rPr>
          <w:rFonts w:ascii="Calibri" w:eastAsia="Calibri" w:hAnsi="Calibri" w:cs="Calibri"/>
        </w:rPr>
        <w:t xml:space="preserve">loads of </w:t>
      </w:r>
      <w:r>
        <w:rPr>
          <w:rFonts w:ascii="Calibri" w:eastAsia="Calibri" w:hAnsi="Calibri" w:cs="Calibri"/>
        </w:rPr>
        <w:t xml:space="preserve">broken asbestos </w:t>
      </w:r>
      <w:r w:rsidR="00585EDC">
        <w:rPr>
          <w:rFonts w:ascii="Calibri" w:eastAsia="Calibri" w:hAnsi="Calibri" w:cs="Calibri"/>
        </w:rPr>
        <w:t>(</w:t>
      </w:r>
      <w:proofErr w:type="spellStart"/>
      <w:r w:rsidR="00585EDC">
        <w:rPr>
          <w:rFonts w:ascii="Calibri" w:eastAsia="Calibri" w:hAnsi="Calibri" w:cs="Calibri"/>
        </w:rPr>
        <w:t>ie</w:t>
      </w:r>
      <w:proofErr w:type="spellEnd"/>
      <w:r w:rsidR="00585EDC">
        <w:rPr>
          <w:rFonts w:ascii="Calibri" w:eastAsia="Calibri" w:hAnsi="Calibri" w:cs="Calibri"/>
        </w:rPr>
        <w:t xml:space="preserve"> bonded asbestos in a poor condition). </w:t>
      </w:r>
    </w:p>
    <w:p w14:paraId="1E421547" w14:textId="1886D0FA" w:rsidR="00337F42" w:rsidRPr="00337F42" w:rsidRDefault="00337F42" w:rsidP="00337F42">
      <w:pPr>
        <w:spacing w:after="120" w:line="264" w:lineRule="auto"/>
        <w:rPr>
          <w:rFonts w:asciiTheme="majorHAnsi" w:hAnsiTheme="majorHAnsi" w:cstheme="majorHAnsi"/>
        </w:rPr>
      </w:pPr>
      <w:r w:rsidRPr="00337F42">
        <w:rPr>
          <w:rFonts w:asciiTheme="majorHAnsi" w:hAnsiTheme="majorHAnsi" w:cstheme="majorHAnsi"/>
        </w:rPr>
        <w:lastRenderedPageBreak/>
        <w:t xml:space="preserve">If a load is received on site that does not meet the minimum standards, the waste has not been transported compliantly. </w:t>
      </w:r>
      <w:r>
        <w:rPr>
          <w:rFonts w:asciiTheme="majorHAnsi" w:hAnsiTheme="majorHAnsi" w:cstheme="majorHAnsi"/>
        </w:rPr>
        <w:t xml:space="preserve">ESA Member landfill operators have </w:t>
      </w:r>
      <w:r w:rsidRPr="00337F42">
        <w:rPr>
          <w:rFonts w:asciiTheme="majorHAnsi" w:hAnsiTheme="majorHAnsi" w:cstheme="majorHAnsi"/>
        </w:rPr>
        <w:t>a duty of care and moral obligation to ensure</w:t>
      </w:r>
      <w:r>
        <w:rPr>
          <w:rFonts w:asciiTheme="majorHAnsi" w:hAnsiTheme="majorHAnsi" w:cstheme="majorHAnsi"/>
        </w:rPr>
        <w:t xml:space="preserve"> </w:t>
      </w:r>
      <w:r w:rsidRPr="00337F42">
        <w:rPr>
          <w:rFonts w:asciiTheme="majorHAnsi" w:hAnsiTheme="majorHAnsi" w:cstheme="majorHAnsi"/>
        </w:rPr>
        <w:t xml:space="preserve">that </w:t>
      </w:r>
      <w:r w:rsidR="00585EDC">
        <w:rPr>
          <w:rFonts w:asciiTheme="majorHAnsi" w:hAnsiTheme="majorHAnsi" w:cstheme="majorHAnsi"/>
        </w:rPr>
        <w:t xml:space="preserve">bonded </w:t>
      </w:r>
      <w:r w:rsidRPr="00337F42">
        <w:rPr>
          <w:rFonts w:asciiTheme="majorHAnsi" w:hAnsiTheme="majorHAnsi" w:cstheme="majorHAnsi"/>
        </w:rPr>
        <w:t>asbestos waste received at our facilities is transported compliantly.</w:t>
      </w:r>
    </w:p>
    <w:p w14:paraId="32C0CB36" w14:textId="2F181900" w:rsidR="002F015E" w:rsidRPr="002F015E" w:rsidRDefault="00337F42" w:rsidP="002F015E">
      <w:pPr>
        <w:spacing w:after="120" w:line="264" w:lineRule="auto"/>
        <w:rPr>
          <w:rFonts w:asciiTheme="majorHAnsi" w:hAnsiTheme="majorHAnsi" w:cstheme="majorHAnsi"/>
          <w:b/>
          <w:bCs/>
        </w:rPr>
      </w:pPr>
      <w:r w:rsidRPr="0096186F">
        <w:rPr>
          <w:rFonts w:asciiTheme="majorHAnsi" w:hAnsiTheme="majorHAnsi" w:cstheme="majorHAnsi"/>
          <w:b/>
          <w:bCs/>
        </w:rPr>
        <w:t xml:space="preserve">LOADS THAT DO NOT MEET THE MINIMUM STANDARD SHOULD BE </w:t>
      </w:r>
      <w:r w:rsidR="00552ADD" w:rsidRPr="0096186F">
        <w:rPr>
          <w:rFonts w:asciiTheme="majorHAnsi" w:hAnsiTheme="majorHAnsi" w:cstheme="majorHAnsi"/>
          <w:b/>
          <w:bCs/>
        </w:rPr>
        <w:t xml:space="preserve">QUARANTINED AND THE </w:t>
      </w:r>
      <w:r w:rsidR="00F7206A">
        <w:rPr>
          <w:rFonts w:asciiTheme="majorHAnsi" w:hAnsiTheme="majorHAnsi" w:cstheme="majorHAnsi"/>
          <w:b/>
          <w:bCs/>
        </w:rPr>
        <w:t>HSE/</w:t>
      </w:r>
      <w:r w:rsidR="00552ADD" w:rsidRPr="0096186F">
        <w:rPr>
          <w:rFonts w:asciiTheme="majorHAnsi" w:hAnsiTheme="majorHAnsi" w:cstheme="majorHAnsi"/>
          <w:b/>
          <w:bCs/>
        </w:rPr>
        <w:t>ENVIRONMENT AGENCY INFORMED (</w:t>
      </w:r>
      <w:r w:rsidRPr="0096186F">
        <w:rPr>
          <w:rFonts w:asciiTheme="majorHAnsi" w:hAnsiTheme="majorHAnsi" w:cstheme="majorHAnsi"/>
          <w:b/>
          <w:bCs/>
        </w:rPr>
        <w:t>REFER</w:t>
      </w:r>
      <w:r w:rsidR="00552ADD" w:rsidRPr="0096186F">
        <w:rPr>
          <w:rFonts w:asciiTheme="majorHAnsi" w:hAnsiTheme="majorHAnsi" w:cstheme="majorHAnsi"/>
          <w:b/>
          <w:bCs/>
        </w:rPr>
        <w:t xml:space="preserve"> </w:t>
      </w:r>
      <w:r w:rsidRPr="0096186F">
        <w:rPr>
          <w:rFonts w:asciiTheme="majorHAnsi" w:hAnsiTheme="majorHAnsi" w:cstheme="majorHAnsi"/>
          <w:b/>
          <w:bCs/>
        </w:rPr>
        <w:t xml:space="preserve">TO THE SITE MANAGER FOR </w:t>
      </w:r>
      <w:r w:rsidR="00552ADD" w:rsidRPr="0096186F">
        <w:rPr>
          <w:rFonts w:asciiTheme="majorHAnsi" w:hAnsiTheme="majorHAnsi" w:cstheme="majorHAnsi"/>
          <w:b/>
          <w:bCs/>
        </w:rPr>
        <w:t xml:space="preserve">FURTHER </w:t>
      </w:r>
      <w:r w:rsidRPr="0096186F">
        <w:rPr>
          <w:rFonts w:asciiTheme="majorHAnsi" w:hAnsiTheme="majorHAnsi" w:cstheme="majorHAnsi"/>
          <w:b/>
          <w:bCs/>
        </w:rPr>
        <w:t>GUIDANCE</w:t>
      </w:r>
      <w:r w:rsidR="00552ADD" w:rsidRPr="0096186F">
        <w:rPr>
          <w:rFonts w:asciiTheme="majorHAnsi" w:hAnsiTheme="majorHAnsi" w:cstheme="majorHAnsi"/>
          <w:b/>
          <w:bCs/>
        </w:rPr>
        <w:t xml:space="preserve">). </w:t>
      </w:r>
      <w:r w:rsidRPr="0096186F">
        <w:rPr>
          <w:rFonts w:asciiTheme="majorHAnsi" w:hAnsiTheme="majorHAnsi" w:cstheme="majorHAnsi"/>
          <w:b/>
          <w:bCs/>
        </w:rPr>
        <w:t xml:space="preserve">THE WASTE CARRIER </w:t>
      </w:r>
      <w:r w:rsidR="00552ADD" w:rsidRPr="0096186F">
        <w:rPr>
          <w:rFonts w:asciiTheme="majorHAnsi" w:hAnsiTheme="majorHAnsi" w:cstheme="majorHAnsi"/>
          <w:b/>
          <w:bCs/>
        </w:rPr>
        <w:t xml:space="preserve">SHOULD BE </w:t>
      </w:r>
      <w:r w:rsidRPr="0096186F">
        <w:rPr>
          <w:rFonts w:asciiTheme="majorHAnsi" w:hAnsiTheme="majorHAnsi" w:cstheme="majorHAnsi"/>
          <w:b/>
          <w:bCs/>
        </w:rPr>
        <w:t>INFORMED THAT FUTURE LOADS WILL BE REJECTED</w:t>
      </w:r>
      <w:r w:rsidR="00585EDC" w:rsidRPr="0096186F">
        <w:rPr>
          <w:rFonts w:asciiTheme="majorHAnsi" w:hAnsiTheme="majorHAnsi" w:cstheme="majorHAnsi"/>
          <w:b/>
          <w:bCs/>
        </w:rPr>
        <w:t>.</w:t>
      </w:r>
      <w:bookmarkStart w:id="0" w:name="_ogxup6tdd98l" w:colFirst="0" w:colLast="0"/>
      <w:bookmarkEnd w:id="0"/>
    </w:p>
    <w:p w14:paraId="738E4F6A" w14:textId="4B3F7E1A" w:rsidR="00203979" w:rsidRDefault="00203979" w:rsidP="00203979">
      <w:pPr>
        <w:pStyle w:val="Heading2"/>
        <w:spacing w:before="40" w:after="0" w:line="240" w:lineRule="auto"/>
        <w:jc w:val="right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noProof/>
        </w:rPr>
        <w:drawing>
          <wp:inline distT="114300" distB="114300" distL="114300" distR="114300" wp14:anchorId="7ABCD360" wp14:editId="3905FFD0">
            <wp:extent cx="1925887" cy="625740"/>
            <wp:effectExtent l="0" t="0" r="0" b="0"/>
            <wp:docPr id="2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887" cy="62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CDB0A8" w14:textId="29D35C50" w:rsidR="000B7F8E" w:rsidRPr="00186F9A" w:rsidRDefault="000B7F8E" w:rsidP="00203979">
      <w:pPr>
        <w:pStyle w:val="Heading2"/>
        <w:spacing w:before="40" w:after="0" w:line="240" w:lineRule="auto"/>
        <w:rPr>
          <w:rFonts w:ascii="Calibri" w:eastAsia="Calibri" w:hAnsi="Calibri" w:cs="Calibri"/>
          <w:color w:val="2F5496"/>
          <w:sz w:val="30"/>
          <w:szCs w:val="30"/>
        </w:rPr>
      </w:pPr>
      <w:r w:rsidRPr="00186F9A">
        <w:rPr>
          <w:rFonts w:ascii="Calibri" w:eastAsia="Calibri" w:hAnsi="Calibri" w:cs="Calibri"/>
          <w:color w:val="2F5496"/>
          <w:sz w:val="30"/>
          <w:szCs w:val="30"/>
        </w:rPr>
        <w:t>Appendix: Bonded asbestos (cement) disposal site - self audit / checks</w:t>
      </w:r>
    </w:p>
    <w:p w14:paraId="43FF0EC6" w14:textId="77777777" w:rsidR="000B7F8E" w:rsidRDefault="000B7F8E" w:rsidP="000B7F8E"/>
    <w:tbl>
      <w:tblPr>
        <w:tblW w:w="1047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915"/>
        <w:gridCol w:w="840"/>
        <w:gridCol w:w="5160"/>
      </w:tblGrid>
      <w:tr w:rsidR="000B7F8E" w14:paraId="6A65F815" w14:textId="77777777" w:rsidTr="009D3513">
        <w:trPr>
          <w:trHeight w:val="420"/>
        </w:trPr>
        <w:tc>
          <w:tcPr>
            <w:tcW w:w="10470" w:type="dxa"/>
            <w:gridSpan w:val="4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916E" w14:textId="77777777" w:rsidR="000B7F8E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Arrival - Weighbridge Checks</w:t>
            </w:r>
          </w:p>
        </w:tc>
      </w:tr>
      <w:tr w:rsidR="000B7F8E" w14:paraId="4D04C54B" w14:textId="77777777" w:rsidTr="009D3513">
        <w:trPr>
          <w:trHeight w:val="42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36A3" w14:textId="77777777" w:rsidR="000B7F8E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Question</w:t>
            </w:r>
          </w:p>
        </w:tc>
        <w:tc>
          <w:tcPr>
            <w:tcW w:w="1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278" w14:textId="77777777" w:rsidR="000B7F8E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Response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A49C" w14:textId="77777777" w:rsidR="000B7F8E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43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Actions</w:t>
            </w:r>
          </w:p>
        </w:tc>
      </w:tr>
      <w:tr w:rsidR="000B7F8E" w:rsidRPr="00E92374" w14:paraId="095F49CC" w14:textId="77777777" w:rsidTr="009D3513">
        <w:trPr>
          <w:trHeight w:val="420"/>
        </w:trPr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1B92B" w14:textId="087A029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Has the material arrived </w:t>
            </w:r>
            <w:r w:rsidR="004A67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 </w:t>
            </w:r>
            <w:r w:rsidR="00337F4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the required </w:t>
            </w:r>
            <w:r w:rsidR="00AC5869">
              <w:rPr>
                <w:rFonts w:asciiTheme="majorHAnsi" w:eastAsia="Calibri" w:hAnsiTheme="majorHAnsi" w:cstheme="majorHAnsi"/>
                <w:sz w:val="20"/>
                <w:szCs w:val="20"/>
              </w:rPr>
              <w:t>packaging and container for the type of asbestos?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9882F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A1338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02244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0B7F8E" w:rsidRPr="00E92374" w14:paraId="4360D017" w14:textId="77777777" w:rsidTr="009D3513">
        <w:trPr>
          <w:trHeight w:val="420"/>
        </w:trPr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EC857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8720C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BF1ED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CFA72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Ask why? Some waste types i.e. contaminated soils could be transported in open containers - confirm with site / operations manager</w:t>
            </w:r>
          </w:p>
        </w:tc>
      </w:tr>
      <w:tr w:rsidR="000B7F8E" w:rsidRPr="00E92374" w14:paraId="1466C38D" w14:textId="77777777" w:rsidTr="009D3513">
        <w:trPr>
          <w:trHeight w:val="420"/>
        </w:trPr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BD2AD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Is the Duty of Care (Waste) paperwork correctly completed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2C42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4D218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CAEB3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0B7F8E" w:rsidRPr="00E92374" w14:paraId="33CAF1C3" w14:textId="77777777" w:rsidTr="009D3513">
        <w:trPr>
          <w:trHeight w:val="420"/>
        </w:trPr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8A661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3ACE1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C252F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B2FB2" w14:textId="77777777" w:rsidR="000B7F8E" w:rsidRPr="00E92374" w:rsidRDefault="000B7F8E" w:rsidP="000B7F8E">
            <w:pPr>
              <w:numPr>
                <w:ilvl w:val="0"/>
                <w:numId w:val="4"/>
              </w:numPr>
              <w:ind w:left="283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Vehicle instructed to park up and site / operations manager contacted</w:t>
            </w: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ab/>
            </w:r>
          </w:p>
          <w:p w14:paraId="2921C5A3" w14:textId="77777777" w:rsidR="000B7F8E" w:rsidRPr="00E92374" w:rsidRDefault="000B7F8E" w:rsidP="000B7F8E">
            <w:pPr>
              <w:numPr>
                <w:ilvl w:val="0"/>
                <w:numId w:val="4"/>
              </w:numPr>
              <w:ind w:left="283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Site / operations manager contacts producer / carrier to attempt to resolve / correct any errors</w:t>
            </w:r>
          </w:p>
          <w:p w14:paraId="0FA7CF5E" w14:textId="77777777" w:rsidR="000B7F8E" w:rsidRPr="00E92374" w:rsidRDefault="000B7F8E" w:rsidP="000B7F8E">
            <w:pPr>
              <w:numPr>
                <w:ilvl w:val="0"/>
                <w:numId w:val="4"/>
              </w:numPr>
              <w:ind w:left="283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Load quarantined (if facility allows) or returned to producer</w:t>
            </w:r>
          </w:p>
        </w:tc>
      </w:tr>
      <w:tr w:rsidR="00AC5869" w:rsidRPr="00E92374" w14:paraId="34A186B3" w14:textId="77777777" w:rsidTr="009D3513"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98A8D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Is the driver carrying the minimum PPE required for tipping asbestos (disposable coverall, FFP3 mask, overshoes, gloves)?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50C5B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7BD53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6F0D2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AC5869" w:rsidRPr="00E92374" w14:paraId="463D9AD9" w14:textId="77777777" w:rsidTr="009D3513"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955C6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C511D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0AA9E" w14:textId="77777777" w:rsidR="00AC5869" w:rsidRPr="00E92374" w:rsidRDefault="00AC5869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95036" w14:textId="188A2233" w:rsidR="00AC5869" w:rsidRPr="00AC5869" w:rsidRDefault="00AC5869" w:rsidP="00AC5869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586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Issue correct PPE (first time) </w:t>
            </w:r>
          </w:p>
          <w:p w14:paraId="6768B962" w14:textId="77777777" w:rsidR="00AC5869" w:rsidRPr="00AC5869" w:rsidRDefault="00AC5869" w:rsidP="00AC5869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586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Remind carrier/customer of responsibilities under this guidance </w:t>
            </w:r>
          </w:p>
          <w:p w14:paraId="147E2427" w14:textId="3212D14C" w:rsidR="00AC5869" w:rsidRPr="00AC5869" w:rsidRDefault="00AC5869" w:rsidP="00AC5869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</w:t>
            </w:r>
            <w:r w:rsidRPr="00AC5869">
              <w:rPr>
                <w:rFonts w:asciiTheme="majorHAnsi" w:eastAsia="Calibri" w:hAnsiTheme="majorHAnsi" w:cstheme="majorHAnsi"/>
                <w:sz w:val="20"/>
                <w:szCs w:val="20"/>
              </w:rPr>
              <w:t>otify carrier/customer that a repeat will incur recharge or refusal to tip</w:t>
            </w:r>
          </w:p>
        </w:tc>
      </w:tr>
      <w:tr w:rsidR="000B7F8E" w:rsidRPr="00E92374" w14:paraId="3E943D6C" w14:textId="77777777" w:rsidTr="009D3513">
        <w:tc>
          <w:tcPr>
            <w:tcW w:w="10470" w:type="dxa"/>
            <w:gridSpan w:val="4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56E4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Discharging</w:t>
            </w:r>
          </w:p>
        </w:tc>
      </w:tr>
      <w:tr w:rsidR="000B7F8E" w:rsidRPr="00E92374" w14:paraId="4116A579" w14:textId="77777777" w:rsidTr="009D3513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34D8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1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2FCA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Response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32BE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Actions</w:t>
            </w:r>
          </w:p>
        </w:tc>
      </w:tr>
      <w:tr w:rsidR="000B7F8E" w:rsidRPr="00E92374" w14:paraId="6D3B3821" w14:textId="77777777" w:rsidTr="009D3513"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6F5F1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Has the driver ONLY exited from the vehicle? / Is the area clear of other vehicles / people?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D000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98BB5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17466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0B7F8E" w:rsidRPr="00E92374" w14:paraId="268D96A5" w14:textId="77777777" w:rsidTr="009D3513"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54A58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1CB4A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0ADFF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000DA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Mobile plant operator instructs non-driver to return to cab and escalates to site / operations manager as a safety concern</w:t>
            </w:r>
          </w:p>
        </w:tc>
      </w:tr>
      <w:tr w:rsidR="000B7F8E" w:rsidRPr="00E92374" w14:paraId="2710255A" w14:textId="77777777" w:rsidTr="009D3513">
        <w:trPr>
          <w:trHeight w:val="420"/>
        </w:trPr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8FD8D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Has the driver put on required PPE before leaving the vehicle cab (disposal coverall, FFP3 mask, overshoes, gloves)?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3DA3F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87C6D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A3DC3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0B7F8E" w:rsidRPr="00E92374" w14:paraId="6A711AF8" w14:textId="77777777" w:rsidTr="009D3513">
        <w:trPr>
          <w:trHeight w:val="420"/>
        </w:trPr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5BA6C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D9B14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2F993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D55CA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Mobile plant operator instructs driver to don correct PPE. Refusal to do so is escalated to site / operations manager and load cannot be tipped</w:t>
            </w:r>
          </w:p>
        </w:tc>
      </w:tr>
      <w:tr w:rsidR="000B7F8E" w:rsidRPr="00E92374" w14:paraId="0E9754F5" w14:textId="77777777" w:rsidTr="009D3513">
        <w:trPr>
          <w:trHeight w:val="420"/>
        </w:trPr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48E36" w14:textId="6A741406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Is the asbestos cement waste correctly </w:t>
            </w:r>
            <w:r w:rsidR="00AC5869">
              <w:rPr>
                <w:rFonts w:asciiTheme="majorHAnsi" w:eastAsia="Calibri" w:hAnsiTheme="majorHAnsi" w:cstheme="majorHAnsi"/>
                <w:sz w:val="20"/>
                <w:szCs w:val="20"/>
              </w:rPr>
              <w:t>presented and contained for the type of asbestos</w:t>
            </w: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? </w:t>
            </w:r>
          </w:p>
          <w:p w14:paraId="65707998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(Observed by the mobile plant operator from inside air filtered cab - periodic ‘audit’ by site / operations manager)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59D1A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8C2F7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C535F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0B7F8E" w:rsidRPr="00E92374" w14:paraId="21BA42E1" w14:textId="77777777" w:rsidTr="009D3513">
        <w:trPr>
          <w:trHeight w:val="420"/>
        </w:trPr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2EEC7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F35D7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14202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38D5D" w14:textId="5568171D" w:rsidR="00AC5869" w:rsidRDefault="00AC5869" w:rsidP="000B7F8E">
            <w:pPr>
              <w:widowControl w:val="0"/>
              <w:numPr>
                <w:ilvl w:val="0"/>
                <w:numId w:val="5"/>
              </w:numPr>
              <w:spacing w:line="240" w:lineRule="auto"/>
              <w:ind w:left="283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Waste covered</w:t>
            </w:r>
          </w:p>
          <w:p w14:paraId="5A3E3CD0" w14:textId="0231248B" w:rsidR="000B7F8E" w:rsidRPr="00E92374" w:rsidRDefault="000B7F8E" w:rsidP="000B7F8E">
            <w:pPr>
              <w:widowControl w:val="0"/>
              <w:numPr>
                <w:ilvl w:val="0"/>
                <w:numId w:val="5"/>
              </w:numPr>
              <w:spacing w:line="240" w:lineRule="auto"/>
              <w:ind w:left="283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 compliance</w:t>
            </w:r>
            <w:proofErr w:type="spellEnd"/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escalated to site / operations manager and producer / carrier notified (first time)</w:t>
            </w:r>
          </w:p>
          <w:p w14:paraId="15881C81" w14:textId="77777777" w:rsidR="000B7F8E" w:rsidRPr="00E92374" w:rsidRDefault="000B7F8E" w:rsidP="000B7F8E">
            <w:pPr>
              <w:widowControl w:val="0"/>
              <w:numPr>
                <w:ilvl w:val="0"/>
                <w:numId w:val="5"/>
              </w:numPr>
              <w:spacing w:line="240" w:lineRule="auto"/>
              <w:ind w:left="283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Repeat </w:t>
            </w:r>
            <w:proofErr w:type="spellStart"/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 compliance</w:t>
            </w:r>
            <w:proofErr w:type="spellEnd"/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from producer / carrier load is rejected</w:t>
            </w:r>
          </w:p>
        </w:tc>
      </w:tr>
      <w:tr w:rsidR="000B7F8E" w:rsidRPr="00E92374" w14:paraId="5E883D8B" w14:textId="77777777" w:rsidTr="009D3513">
        <w:trPr>
          <w:trHeight w:val="420"/>
        </w:trPr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46631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Are the sheets intact / bags undamaged?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11EF9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E00A3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B4BCF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None</w:t>
            </w:r>
          </w:p>
        </w:tc>
      </w:tr>
      <w:tr w:rsidR="000B7F8E" w:rsidRPr="00E92374" w14:paraId="3B846E1B" w14:textId="77777777" w:rsidTr="009D3513">
        <w:trPr>
          <w:trHeight w:val="420"/>
        </w:trPr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DF0F6" w14:textId="77777777" w:rsidR="000B7F8E" w:rsidRPr="00E92374" w:rsidRDefault="000B7F8E" w:rsidP="009D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1E3AF" w14:textId="77777777" w:rsidR="000B7F8E" w:rsidRPr="00E92374" w:rsidRDefault="000B7F8E" w:rsidP="009D351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89402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2C5A0" w14:textId="77777777" w:rsidR="000B7F8E" w:rsidRPr="00E92374" w:rsidRDefault="000B7F8E" w:rsidP="009D3513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92374">
              <w:rPr>
                <w:rFonts w:asciiTheme="majorHAnsi" w:eastAsia="Calibri" w:hAnsiTheme="majorHAnsi" w:cstheme="majorHAnsi"/>
                <w:sz w:val="20"/>
                <w:szCs w:val="20"/>
              </w:rPr>
              <w:t>Damp down</w:t>
            </w:r>
          </w:p>
        </w:tc>
      </w:tr>
    </w:tbl>
    <w:p w14:paraId="6280D9B3" w14:textId="77777777" w:rsidR="000B7F8E" w:rsidRPr="00E92374" w:rsidRDefault="000B7F8E" w:rsidP="000B7F8E">
      <w:pPr>
        <w:rPr>
          <w:rFonts w:asciiTheme="majorHAnsi" w:hAnsiTheme="majorHAnsi" w:cstheme="majorHAnsi"/>
          <w:sz w:val="20"/>
          <w:szCs w:val="20"/>
        </w:rPr>
      </w:pPr>
    </w:p>
    <w:p w14:paraId="5BCFD28F" w14:textId="77777777" w:rsidR="000B7F8E" w:rsidRDefault="000B7F8E">
      <w:pPr>
        <w:spacing w:after="160" w:line="240" w:lineRule="auto"/>
        <w:rPr>
          <w:rFonts w:ascii="Calibri" w:eastAsia="Calibri" w:hAnsi="Calibri" w:cs="Calibri"/>
          <w:b/>
        </w:rPr>
      </w:pPr>
    </w:p>
    <w:sectPr w:rsidR="000B7F8E" w:rsidSect="000B7F8E">
      <w:pgSz w:w="11909" w:h="16834"/>
      <w:pgMar w:top="1440" w:right="1440" w:bottom="1440" w:left="1440" w:header="28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3030" w14:textId="77777777" w:rsidR="004E0025" w:rsidRDefault="004E0025">
      <w:pPr>
        <w:spacing w:line="240" w:lineRule="auto"/>
      </w:pPr>
      <w:r>
        <w:separator/>
      </w:r>
    </w:p>
  </w:endnote>
  <w:endnote w:type="continuationSeparator" w:id="0">
    <w:p w14:paraId="469E6BE9" w14:textId="77777777" w:rsidR="004E0025" w:rsidRDefault="004E0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3BAA" w14:textId="77777777" w:rsidR="004E0025" w:rsidRDefault="004E0025">
      <w:pPr>
        <w:spacing w:line="240" w:lineRule="auto"/>
      </w:pPr>
      <w:r>
        <w:separator/>
      </w:r>
    </w:p>
  </w:footnote>
  <w:footnote w:type="continuationSeparator" w:id="0">
    <w:p w14:paraId="6A2D0D88" w14:textId="77777777" w:rsidR="004E0025" w:rsidRDefault="004E00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B00"/>
    <w:multiLevelType w:val="hybridMultilevel"/>
    <w:tmpl w:val="8E60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3EF"/>
    <w:multiLevelType w:val="multilevel"/>
    <w:tmpl w:val="034A7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F30457"/>
    <w:multiLevelType w:val="hybridMultilevel"/>
    <w:tmpl w:val="5D620A8C"/>
    <w:lvl w:ilvl="0" w:tplc="520CF554">
      <w:start w:val="1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E27C0"/>
    <w:multiLevelType w:val="hybridMultilevel"/>
    <w:tmpl w:val="6032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496"/>
    <w:multiLevelType w:val="hybridMultilevel"/>
    <w:tmpl w:val="2D487A7A"/>
    <w:lvl w:ilvl="0" w:tplc="1AFE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2A0C"/>
    <w:multiLevelType w:val="multilevel"/>
    <w:tmpl w:val="82F80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066A06"/>
    <w:multiLevelType w:val="multilevel"/>
    <w:tmpl w:val="84821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C733A4"/>
    <w:multiLevelType w:val="hybridMultilevel"/>
    <w:tmpl w:val="A814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8268C"/>
    <w:multiLevelType w:val="hybridMultilevel"/>
    <w:tmpl w:val="B8C4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2CE"/>
    <w:multiLevelType w:val="hybridMultilevel"/>
    <w:tmpl w:val="E352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C4E"/>
    <w:multiLevelType w:val="hybridMultilevel"/>
    <w:tmpl w:val="00F6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2098"/>
    <w:multiLevelType w:val="multilevel"/>
    <w:tmpl w:val="28D28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A232C3"/>
    <w:multiLevelType w:val="hybridMultilevel"/>
    <w:tmpl w:val="3138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702"/>
    <w:multiLevelType w:val="hybridMultilevel"/>
    <w:tmpl w:val="C264EE0C"/>
    <w:lvl w:ilvl="0" w:tplc="1AFE0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6620D"/>
    <w:multiLevelType w:val="hybridMultilevel"/>
    <w:tmpl w:val="BCFC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2756"/>
    <w:multiLevelType w:val="multilevel"/>
    <w:tmpl w:val="908A8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B43B9B"/>
    <w:multiLevelType w:val="hybridMultilevel"/>
    <w:tmpl w:val="E0FE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925FE"/>
    <w:multiLevelType w:val="hybridMultilevel"/>
    <w:tmpl w:val="6384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73085">
    <w:abstractNumId w:val="15"/>
  </w:num>
  <w:num w:numId="2" w16cid:durableId="293173117">
    <w:abstractNumId w:val="6"/>
  </w:num>
  <w:num w:numId="3" w16cid:durableId="1039746927">
    <w:abstractNumId w:val="5"/>
  </w:num>
  <w:num w:numId="4" w16cid:durableId="319388234">
    <w:abstractNumId w:val="11"/>
  </w:num>
  <w:num w:numId="5" w16cid:durableId="752775868">
    <w:abstractNumId w:val="1"/>
  </w:num>
  <w:num w:numId="6" w16cid:durableId="208762473">
    <w:abstractNumId w:val="12"/>
  </w:num>
  <w:num w:numId="7" w16cid:durableId="738947133">
    <w:abstractNumId w:val="12"/>
  </w:num>
  <w:num w:numId="8" w16cid:durableId="1489327257">
    <w:abstractNumId w:val="7"/>
  </w:num>
  <w:num w:numId="9" w16cid:durableId="1026173297">
    <w:abstractNumId w:val="13"/>
  </w:num>
  <w:num w:numId="10" w16cid:durableId="2005547007">
    <w:abstractNumId w:val="4"/>
  </w:num>
  <w:num w:numId="11" w16cid:durableId="1256550536">
    <w:abstractNumId w:val="8"/>
  </w:num>
  <w:num w:numId="12" w16cid:durableId="1061948729">
    <w:abstractNumId w:val="14"/>
  </w:num>
  <w:num w:numId="13" w16cid:durableId="949430949">
    <w:abstractNumId w:val="2"/>
  </w:num>
  <w:num w:numId="14" w16cid:durableId="1904680836">
    <w:abstractNumId w:val="10"/>
  </w:num>
  <w:num w:numId="15" w16cid:durableId="1221288312">
    <w:abstractNumId w:val="17"/>
  </w:num>
  <w:num w:numId="16" w16cid:durableId="1350064430">
    <w:abstractNumId w:val="0"/>
  </w:num>
  <w:num w:numId="17" w16cid:durableId="2114857260">
    <w:abstractNumId w:val="9"/>
  </w:num>
  <w:num w:numId="18" w16cid:durableId="205682633">
    <w:abstractNumId w:val="3"/>
  </w:num>
  <w:num w:numId="19" w16cid:durableId="977343781">
    <w:abstractNumId w:val="16"/>
  </w:num>
  <w:num w:numId="20" w16cid:durableId="331296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0A"/>
    <w:rsid w:val="00011B29"/>
    <w:rsid w:val="00014970"/>
    <w:rsid w:val="00035459"/>
    <w:rsid w:val="00055A45"/>
    <w:rsid w:val="000668C1"/>
    <w:rsid w:val="000721B7"/>
    <w:rsid w:val="000731E2"/>
    <w:rsid w:val="00080854"/>
    <w:rsid w:val="00096BC1"/>
    <w:rsid w:val="000B7F8E"/>
    <w:rsid w:val="000E4540"/>
    <w:rsid w:val="00104EBC"/>
    <w:rsid w:val="0010596B"/>
    <w:rsid w:val="00123695"/>
    <w:rsid w:val="001848DD"/>
    <w:rsid w:val="00186F9A"/>
    <w:rsid w:val="00195306"/>
    <w:rsid w:val="001A1ED6"/>
    <w:rsid w:val="001A293B"/>
    <w:rsid w:val="001B07FF"/>
    <w:rsid w:val="001D7618"/>
    <w:rsid w:val="001E004E"/>
    <w:rsid w:val="00203979"/>
    <w:rsid w:val="00204198"/>
    <w:rsid w:val="00217B43"/>
    <w:rsid w:val="00285E7F"/>
    <w:rsid w:val="002A0C38"/>
    <w:rsid w:val="002A0FCC"/>
    <w:rsid w:val="002B278E"/>
    <w:rsid w:val="002C0376"/>
    <w:rsid w:val="002C289B"/>
    <w:rsid w:val="002F015E"/>
    <w:rsid w:val="00315101"/>
    <w:rsid w:val="00322E92"/>
    <w:rsid w:val="00337F42"/>
    <w:rsid w:val="00343B81"/>
    <w:rsid w:val="00374752"/>
    <w:rsid w:val="003772D5"/>
    <w:rsid w:val="003B6E54"/>
    <w:rsid w:val="003E6BB7"/>
    <w:rsid w:val="0044152E"/>
    <w:rsid w:val="00453497"/>
    <w:rsid w:val="0046587F"/>
    <w:rsid w:val="00483775"/>
    <w:rsid w:val="00494246"/>
    <w:rsid w:val="004A6754"/>
    <w:rsid w:val="004E0025"/>
    <w:rsid w:val="004F49D5"/>
    <w:rsid w:val="0052790D"/>
    <w:rsid w:val="005348C9"/>
    <w:rsid w:val="00552ADD"/>
    <w:rsid w:val="00585EDC"/>
    <w:rsid w:val="005C28A1"/>
    <w:rsid w:val="005D1E44"/>
    <w:rsid w:val="005D3D81"/>
    <w:rsid w:val="005D555C"/>
    <w:rsid w:val="005D6211"/>
    <w:rsid w:val="00637B47"/>
    <w:rsid w:val="006B4831"/>
    <w:rsid w:val="006C347B"/>
    <w:rsid w:val="00724F8F"/>
    <w:rsid w:val="007547E3"/>
    <w:rsid w:val="00767639"/>
    <w:rsid w:val="0079460A"/>
    <w:rsid w:val="007A5DC4"/>
    <w:rsid w:val="007E3732"/>
    <w:rsid w:val="00813506"/>
    <w:rsid w:val="00846E5D"/>
    <w:rsid w:val="008665D2"/>
    <w:rsid w:val="008C4745"/>
    <w:rsid w:val="008F696D"/>
    <w:rsid w:val="009074A9"/>
    <w:rsid w:val="00934A43"/>
    <w:rsid w:val="0096186F"/>
    <w:rsid w:val="00973A74"/>
    <w:rsid w:val="009D03CA"/>
    <w:rsid w:val="009D1A2B"/>
    <w:rsid w:val="009E11AB"/>
    <w:rsid w:val="009E49A0"/>
    <w:rsid w:val="009F7420"/>
    <w:rsid w:val="00A02984"/>
    <w:rsid w:val="00A40246"/>
    <w:rsid w:val="00A532B4"/>
    <w:rsid w:val="00A94800"/>
    <w:rsid w:val="00AA203B"/>
    <w:rsid w:val="00AA2110"/>
    <w:rsid w:val="00AC5869"/>
    <w:rsid w:val="00B02202"/>
    <w:rsid w:val="00B2399F"/>
    <w:rsid w:val="00B23FF9"/>
    <w:rsid w:val="00B474D1"/>
    <w:rsid w:val="00B57000"/>
    <w:rsid w:val="00B61D42"/>
    <w:rsid w:val="00BC07DF"/>
    <w:rsid w:val="00BC0AC2"/>
    <w:rsid w:val="00C06C40"/>
    <w:rsid w:val="00C20B8C"/>
    <w:rsid w:val="00C83839"/>
    <w:rsid w:val="00C93F11"/>
    <w:rsid w:val="00CA1DBE"/>
    <w:rsid w:val="00CD1749"/>
    <w:rsid w:val="00CE4BEA"/>
    <w:rsid w:val="00CF3226"/>
    <w:rsid w:val="00D0694F"/>
    <w:rsid w:val="00D818E8"/>
    <w:rsid w:val="00D870AF"/>
    <w:rsid w:val="00D9635E"/>
    <w:rsid w:val="00DB5872"/>
    <w:rsid w:val="00DD3AE1"/>
    <w:rsid w:val="00DD4AA9"/>
    <w:rsid w:val="00DE3890"/>
    <w:rsid w:val="00DE4C1F"/>
    <w:rsid w:val="00E011F8"/>
    <w:rsid w:val="00E03C0A"/>
    <w:rsid w:val="00E427A1"/>
    <w:rsid w:val="00E47BA5"/>
    <w:rsid w:val="00E62E67"/>
    <w:rsid w:val="00EA184C"/>
    <w:rsid w:val="00EE69F7"/>
    <w:rsid w:val="00EF5A56"/>
    <w:rsid w:val="00F40BB7"/>
    <w:rsid w:val="00F558D7"/>
    <w:rsid w:val="00F66E81"/>
    <w:rsid w:val="00F7206A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E19D41"/>
  <w15:docId w15:val="{DC67286F-EEA2-4149-9D4D-D1613F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B7F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8E"/>
  </w:style>
  <w:style w:type="paragraph" w:styleId="Footer">
    <w:name w:val="footer"/>
    <w:basedOn w:val="Normal"/>
    <w:link w:val="FooterChar"/>
    <w:uiPriority w:val="99"/>
    <w:unhideWhenUsed/>
    <w:rsid w:val="000B7F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8E"/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534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TitleChar">
    <w:name w:val="Title Char"/>
    <w:link w:val="Title"/>
    <w:rsid w:val="00453497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3E6BB7"/>
    <w:pPr>
      <w:spacing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4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A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322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837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se.gov.uk/pubns/indg47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hazardous-waste-consignment-note-supplementary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hazardous-waste-consignment-note-supplementary-guid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gov.uk/cdg/commonproblems/asbesto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cdg/commonproblems/asbestos.htm" TargetMode="External"/><Relationship Id="rId14" Type="http://schemas.openxmlformats.org/officeDocument/2006/relationships/hyperlink" Target="https://www.gov.uk/guidance/hazardous-waste-consignment-note-supplementar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8E0F-DCCD-4B89-9BDB-57B0E53A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Freeland</dc:creator>
  <cp:lastModifiedBy>Stephen Freeland</cp:lastModifiedBy>
  <cp:revision>3</cp:revision>
  <dcterms:created xsi:type="dcterms:W3CDTF">2024-09-05T13:45:00Z</dcterms:created>
  <dcterms:modified xsi:type="dcterms:W3CDTF">2024-09-06T11:23:00Z</dcterms:modified>
</cp:coreProperties>
</file>